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58" w:type="pct"/>
        <w:tblInd w:w="-285" w:type="dxa"/>
        <w:tblBorders>
          <w:top w:val="single" w:sz="12" w:space="0" w:color="auto"/>
          <w:left w:val="single" w:sz="12" w:space="0" w:color="auto"/>
          <w:bottom w:val="single" w:sz="12" w:space="0" w:color="auto"/>
          <w:right w:val="single" w:sz="12" w:space="0" w:color="auto"/>
          <w:insideH w:val="single" w:sz="6" w:space="0" w:color="auto"/>
          <w:insideV w:val="single" w:sz="12" w:space="0" w:color="auto"/>
        </w:tblBorders>
        <w:tblCellMar>
          <w:left w:w="0" w:type="dxa"/>
          <w:right w:w="0" w:type="dxa"/>
        </w:tblCellMar>
        <w:tblLook w:val="0000" w:firstRow="0" w:lastRow="0" w:firstColumn="0" w:lastColumn="0" w:noHBand="0" w:noVBand="0"/>
      </w:tblPr>
      <w:tblGrid>
        <w:gridCol w:w="3145"/>
        <w:gridCol w:w="3320"/>
        <w:gridCol w:w="3059"/>
      </w:tblGrid>
      <w:tr w:rsidR="00014412" w:rsidRPr="00E71A27" w:rsidTr="00043765">
        <w:trPr>
          <w:trHeight w:hRule="exact" w:val="624"/>
        </w:trPr>
        <w:tc>
          <w:tcPr>
            <w:tcW w:w="1651" w:type="pct"/>
          </w:tcPr>
          <w:p w:rsidR="00014412" w:rsidRPr="006311AA" w:rsidRDefault="00014412" w:rsidP="00014412">
            <w:pPr>
              <w:kinsoku w:val="0"/>
              <w:overflowPunct w:val="0"/>
              <w:autoSpaceDE w:val="0"/>
              <w:autoSpaceDN w:val="0"/>
              <w:adjustRightInd w:val="0"/>
              <w:spacing w:after="0" w:line="160" w:lineRule="exact"/>
              <w:jc w:val="center"/>
              <w:rPr>
                <w:rFonts w:ascii="Cambria" w:hAnsi="Cambria"/>
                <w:sz w:val="24"/>
                <w:szCs w:val="24"/>
                <w:rtl/>
              </w:rPr>
            </w:pPr>
          </w:p>
          <w:p w:rsidR="00014412" w:rsidRPr="00D55EAC" w:rsidRDefault="00014412" w:rsidP="00BB3FD7">
            <w:pPr>
              <w:kinsoku w:val="0"/>
              <w:overflowPunct w:val="0"/>
              <w:autoSpaceDE w:val="0"/>
              <w:autoSpaceDN w:val="0"/>
              <w:adjustRightInd w:val="0"/>
              <w:spacing w:after="0" w:line="240" w:lineRule="auto"/>
              <w:jc w:val="center"/>
              <w:rPr>
                <w:rFonts w:ascii="Cambria" w:hAnsi="Cambria"/>
                <w:sz w:val="24"/>
                <w:szCs w:val="24"/>
                <w:lang w:val="en-US"/>
              </w:rPr>
            </w:pPr>
            <w:r w:rsidRPr="006311AA">
              <w:rPr>
                <w:rFonts w:ascii="Cambria" w:hAnsi="Cambria"/>
                <w:spacing w:val="-5"/>
                <w:sz w:val="24"/>
                <w:szCs w:val="24"/>
              </w:rPr>
              <w:t>R</w:t>
            </w:r>
            <w:r w:rsidRPr="006311AA">
              <w:rPr>
                <w:rFonts w:ascii="Cambria" w:hAnsi="Cambria"/>
                <w:sz w:val="24"/>
                <w:szCs w:val="24"/>
              </w:rPr>
              <w:t>ece</w:t>
            </w:r>
            <w:r w:rsidRPr="006311AA">
              <w:rPr>
                <w:rFonts w:ascii="Cambria" w:hAnsi="Cambria"/>
                <w:spacing w:val="-6"/>
                <w:sz w:val="24"/>
                <w:szCs w:val="24"/>
              </w:rPr>
              <w:t>iv</w:t>
            </w:r>
            <w:r w:rsidRPr="006311AA">
              <w:rPr>
                <w:rFonts w:ascii="Cambria" w:hAnsi="Cambria"/>
                <w:sz w:val="24"/>
                <w:szCs w:val="24"/>
              </w:rPr>
              <w:t>ed:</w:t>
            </w:r>
            <w:r w:rsidRPr="006311AA">
              <w:rPr>
                <w:rFonts w:ascii="Cambria" w:hAnsi="Cambria"/>
                <w:sz w:val="24"/>
                <w:szCs w:val="24"/>
                <w:lang w:val="en-US"/>
              </w:rPr>
              <w:t xml:space="preserve"> </w:t>
            </w:r>
            <w:bookmarkStart w:id="0" w:name="_Hlk523929882"/>
            <w:proofErr w:type="spellStart"/>
            <w:r w:rsidR="00BB3FD7">
              <w:rPr>
                <w:rFonts w:ascii="Cambria" w:hAnsi="Cambria"/>
                <w:sz w:val="24"/>
                <w:szCs w:val="24"/>
                <w:lang w:val="en-US"/>
              </w:rPr>
              <w:t>Agustus</w:t>
            </w:r>
            <w:proofErr w:type="spellEnd"/>
            <w:r w:rsidR="00BB3FD7">
              <w:rPr>
                <w:rFonts w:ascii="Cambria" w:hAnsi="Cambria"/>
                <w:sz w:val="24"/>
                <w:szCs w:val="24"/>
                <w:lang w:val="en-US"/>
              </w:rPr>
              <w:t xml:space="preserve"> 2022</w:t>
            </w:r>
          </w:p>
        </w:tc>
        <w:tc>
          <w:tcPr>
            <w:tcW w:w="1743" w:type="pct"/>
          </w:tcPr>
          <w:p w:rsidR="00014412" w:rsidRPr="006311AA" w:rsidRDefault="00014412" w:rsidP="00014412">
            <w:pPr>
              <w:kinsoku w:val="0"/>
              <w:overflowPunct w:val="0"/>
              <w:autoSpaceDE w:val="0"/>
              <w:autoSpaceDN w:val="0"/>
              <w:adjustRightInd w:val="0"/>
              <w:spacing w:after="0" w:line="160" w:lineRule="exact"/>
              <w:jc w:val="center"/>
              <w:rPr>
                <w:rFonts w:ascii="Cambria" w:hAnsi="Cambria"/>
                <w:sz w:val="24"/>
                <w:szCs w:val="24"/>
              </w:rPr>
            </w:pPr>
          </w:p>
          <w:p w:rsidR="00014412" w:rsidRPr="00D55EAC" w:rsidRDefault="00014412" w:rsidP="00BB3FD7">
            <w:pPr>
              <w:kinsoku w:val="0"/>
              <w:overflowPunct w:val="0"/>
              <w:autoSpaceDE w:val="0"/>
              <w:autoSpaceDN w:val="0"/>
              <w:adjustRightInd w:val="0"/>
              <w:spacing w:after="0" w:line="240" w:lineRule="auto"/>
              <w:ind w:left="507"/>
              <w:rPr>
                <w:rFonts w:ascii="Cambria" w:hAnsi="Cambria"/>
                <w:sz w:val="24"/>
                <w:szCs w:val="24"/>
              </w:rPr>
            </w:pPr>
            <w:r w:rsidRPr="006311AA">
              <w:rPr>
                <w:rFonts w:ascii="Cambria" w:hAnsi="Cambria"/>
                <w:spacing w:val="-2"/>
                <w:sz w:val="24"/>
                <w:szCs w:val="24"/>
              </w:rPr>
              <w:t>A</w:t>
            </w:r>
            <w:r w:rsidRPr="006311AA">
              <w:rPr>
                <w:rFonts w:ascii="Cambria" w:hAnsi="Cambria"/>
                <w:sz w:val="24"/>
                <w:szCs w:val="24"/>
              </w:rPr>
              <w:t>ccep</w:t>
            </w:r>
            <w:r w:rsidRPr="006311AA">
              <w:rPr>
                <w:rFonts w:ascii="Cambria" w:hAnsi="Cambria"/>
                <w:spacing w:val="-3"/>
                <w:sz w:val="24"/>
                <w:szCs w:val="24"/>
              </w:rPr>
              <w:t>t</w:t>
            </w:r>
            <w:r w:rsidRPr="006311AA">
              <w:rPr>
                <w:rFonts w:ascii="Cambria" w:hAnsi="Cambria"/>
                <w:sz w:val="24"/>
                <w:szCs w:val="24"/>
              </w:rPr>
              <w:t>ed:</w:t>
            </w:r>
            <w:r w:rsidRPr="006311AA">
              <w:rPr>
                <w:rFonts w:ascii="Cambria" w:hAnsi="Cambria"/>
                <w:sz w:val="24"/>
                <w:szCs w:val="24"/>
                <w:lang w:val="en-US"/>
              </w:rPr>
              <w:t xml:space="preserve"> </w:t>
            </w:r>
            <w:proofErr w:type="spellStart"/>
            <w:r w:rsidR="00BB3FD7">
              <w:rPr>
                <w:rFonts w:ascii="Cambria" w:hAnsi="Cambria"/>
                <w:sz w:val="24"/>
                <w:szCs w:val="24"/>
                <w:lang w:val="en-US"/>
              </w:rPr>
              <w:t>Agustus</w:t>
            </w:r>
            <w:proofErr w:type="spellEnd"/>
            <w:r w:rsidR="00BB3FD7">
              <w:rPr>
                <w:rFonts w:ascii="Cambria" w:hAnsi="Cambria"/>
                <w:sz w:val="24"/>
                <w:szCs w:val="24"/>
                <w:lang w:val="en-US"/>
              </w:rPr>
              <w:t xml:space="preserve"> 2022</w:t>
            </w:r>
          </w:p>
        </w:tc>
        <w:tc>
          <w:tcPr>
            <w:tcW w:w="1606" w:type="pct"/>
            <w:vAlign w:val="center"/>
          </w:tcPr>
          <w:p w:rsidR="00014412" w:rsidRPr="00D55EAC" w:rsidRDefault="00014412" w:rsidP="00BB3FD7">
            <w:pPr>
              <w:kinsoku w:val="0"/>
              <w:overflowPunct w:val="0"/>
              <w:autoSpaceDE w:val="0"/>
              <w:autoSpaceDN w:val="0"/>
              <w:adjustRightInd w:val="0"/>
              <w:spacing w:after="0" w:line="240" w:lineRule="auto"/>
              <w:jc w:val="center"/>
              <w:rPr>
                <w:rFonts w:ascii="Cambria" w:hAnsi="Cambria"/>
                <w:sz w:val="24"/>
                <w:szCs w:val="24"/>
              </w:rPr>
            </w:pPr>
            <w:r w:rsidRPr="006311AA">
              <w:rPr>
                <w:rFonts w:ascii="Cambria" w:hAnsi="Cambria"/>
                <w:sz w:val="24"/>
                <w:szCs w:val="24"/>
              </w:rPr>
              <w:t>Published:</w:t>
            </w:r>
            <w:r w:rsidRPr="006311AA">
              <w:rPr>
                <w:rFonts w:ascii="Cambria" w:hAnsi="Cambria"/>
                <w:sz w:val="24"/>
                <w:szCs w:val="24"/>
                <w:lang w:val="en-US"/>
              </w:rPr>
              <w:t xml:space="preserve"> </w:t>
            </w:r>
            <w:r w:rsidR="00BB3FD7">
              <w:rPr>
                <w:rFonts w:ascii="Cambria" w:hAnsi="Cambria"/>
                <w:sz w:val="24"/>
                <w:szCs w:val="24"/>
                <w:lang w:val="en-US"/>
              </w:rPr>
              <w:t>November 2022</w:t>
            </w:r>
          </w:p>
        </w:tc>
      </w:tr>
      <w:bookmarkEnd w:id="0"/>
    </w:tbl>
    <w:p w:rsidR="003A2E7A" w:rsidRPr="00F22878" w:rsidRDefault="003A2E7A" w:rsidP="003A2E7A">
      <w:pPr>
        <w:pStyle w:val="ListParagraph"/>
        <w:bidi/>
        <w:ind w:hanging="862"/>
        <w:jc w:val="center"/>
        <w:rPr>
          <w:rFonts w:ascii="Garamond" w:hAnsi="Garamond" w:cs="Sakkal Majalla"/>
          <w:b/>
          <w:bCs/>
          <w:color w:val="000000"/>
          <w:sz w:val="24"/>
          <w:szCs w:val="24"/>
          <w:lang w:bidi="ar-EG"/>
        </w:rPr>
      </w:pPr>
    </w:p>
    <w:p w:rsidR="004A65FC" w:rsidRPr="004A65FC" w:rsidRDefault="004A65FC" w:rsidP="00F22878">
      <w:pPr>
        <w:spacing w:after="0" w:line="240" w:lineRule="auto"/>
        <w:jc w:val="center"/>
        <w:outlineLvl w:val="0"/>
        <w:rPr>
          <w:rFonts w:ascii="Sakkal Majalla" w:hAnsi="Sakkal Majalla" w:cs="Sakkal Majalla"/>
          <w:b/>
          <w:bCs/>
          <w:sz w:val="28"/>
          <w:szCs w:val="28"/>
        </w:rPr>
      </w:pPr>
      <w:r w:rsidRPr="004A65FC">
        <w:rPr>
          <w:rFonts w:ascii="Sakkal Majalla" w:hAnsi="Sakkal Majalla" w:cs="Sakkal Majalla"/>
          <w:b/>
          <w:bCs/>
          <w:sz w:val="28"/>
          <w:szCs w:val="28"/>
          <w:rtl/>
          <w:lang w:val="en-US" w:bidi="ar-EG"/>
        </w:rPr>
        <w:t>نظرية المصلحة وتطبيقاتها في فتاوى الاقتصادية المعاصرة في هيئة الشرعية الوطنية لمجلس العلماء الإندونيسي</w:t>
      </w:r>
    </w:p>
    <w:p w:rsidR="009F6DED" w:rsidRPr="009F6DED" w:rsidRDefault="004A65FC" w:rsidP="00F22878">
      <w:pPr>
        <w:spacing w:after="0" w:line="240" w:lineRule="auto"/>
        <w:jc w:val="center"/>
        <w:outlineLvl w:val="0"/>
        <w:rPr>
          <w:rFonts w:ascii="Garamond" w:hAnsi="Garamond"/>
          <w:b/>
          <w:bCs/>
          <w:sz w:val="24"/>
          <w:szCs w:val="24"/>
        </w:rPr>
      </w:pPr>
      <w:r w:rsidRPr="004A65FC">
        <w:rPr>
          <w:rFonts w:ascii="Garamond" w:hAnsi="Garamond"/>
          <w:b/>
          <w:bCs/>
          <w:sz w:val="24"/>
          <w:szCs w:val="24"/>
          <w:lang w:val="en-US"/>
        </w:rPr>
        <w:t xml:space="preserve"> </w:t>
      </w:r>
      <w:r w:rsidR="009F6DED">
        <w:rPr>
          <w:rFonts w:ascii="Garamond" w:hAnsi="Garamond"/>
          <w:b/>
          <w:bCs/>
          <w:sz w:val="24"/>
          <w:szCs w:val="24"/>
          <w:lang w:val="en-US"/>
        </w:rPr>
        <w:t>(</w:t>
      </w:r>
      <w:r>
        <w:rPr>
          <w:rFonts w:ascii="Garamond" w:hAnsi="Garamond"/>
          <w:b/>
          <w:bCs/>
          <w:sz w:val="24"/>
          <w:szCs w:val="24"/>
          <w:lang w:val="en-US"/>
        </w:rPr>
        <w:t>The Theory of Interest and Its Applications i</w:t>
      </w:r>
      <w:r w:rsidR="005122DC">
        <w:rPr>
          <w:rFonts w:ascii="Garamond" w:hAnsi="Garamond"/>
          <w:b/>
          <w:bCs/>
          <w:sz w:val="24"/>
          <w:szCs w:val="24"/>
          <w:lang w:val="en-US"/>
        </w:rPr>
        <w:t>n Contemporary Economic Fatwa</w:t>
      </w:r>
      <w:r w:rsidR="00F22878">
        <w:rPr>
          <w:rFonts w:ascii="Garamond" w:hAnsi="Garamond"/>
          <w:b/>
          <w:bCs/>
          <w:sz w:val="24"/>
          <w:szCs w:val="24"/>
          <w:lang w:val="en-US"/>
        </w:rPr>
        <w:t xml:space="preserve"> i</w:t>
      </w:r>
      <w:r w:rsidR="00B97014">
        <w:rPr>
          <w:rFonts w:ascii="Garamond" w:hAnsi="Garamond"/>
          <w:b/>
          <w:bCs/>
          <w:sz w:val="24"/>
          <w:szCs w:val="24"/>
          <w:lang w:val="en-US"/>
        </w:rPr>
        <w:t>n t</w:t>
      </w:r>
      <w:r>
        <w:rPr>
          <w:rFonts w:ascii="Garamond" w:hAnsi="Garamond"/>
          <w:b/>
          <w:bCs/>
          <w:sz w:val="24"/>
          <w:szCs w:val="24"/>
          <w:lang w:val="en-US"/>
        </w:rPr>
        <w:t xml:space="preserve">he National </w:t>
      </w:r>
      <w:proofErr w:type="spellStart"/>
      <w:r>
        <w:rPr>
          <w:rFonts w:ascii="Garamond" w:hAnsi="Garamond"/>
          <w:b/>
          <w:bCs/>
          <w:sz w:val="24"/>
          <w:szCs w:val="24"/>
          <w:lang w:val="en-US"/>
        </w:rPr>
        <w:t>Shariah</w:t>
      </w:r>
      <w:proofErr w:type="spellEnd"/>
      <w:r>
        <w:rPr>
          <w:rFonts w:ascii="Garamond" w:hAnsi="Garamond"/>
          <w:b/>
          <w:bCs/>
          <w:sz w:val="24"/>
          <w:szCs w:val="24"/>
          <w:lang w:val="en-US"/>
        </w:rPr>
        <w:t xml:space="preserve"> Board o</w:t>
      </w:r>
      <w:r w:rsidR="00A64B69">
        <w:rPr>
          <w:rFonts w:ascii="Garamond" w:hAnsi="Garamond"/>
          <w:b/>
          <w:bCs/>
          <w:sz w:val="24"/>
          <w:szCs w:val="24"/>
          <w:lang w:val="en-US"/>
        </w:rPr>
        <w:t>f t</w:t>
      </w:r>
      <w:r w:rsidR="009F6DED" w:rsidRPr="009F6DED">
        <w:rPr>
          <w:rFonts w:ascii="Garamond" w:hAnsi="Garamond"/>
          <w:b/>
          <w:bCs/>
          <w:sz w:val="24"/>
          <w:szCs w:val="24"/>
          <w:lang w:val="en-US"/>
        </w:rPr>
        <w:t xml:space="preserve">he Indonesian </w:t>
      </w:r>
      <w:proofErr w:type="spellStart"/>
      <w:r w:rsidR="009F6DED" w:rsidRPr="009F6DED">
        <w:rPr>
          <w:rFonts w:ascii="Garamond" w:hAnsi="Garamond"/>
          <w:b/>
          <w:bCs/>
          <w:sz w:val="24"/>
          <w:szCs w:val="24"/>
          <w:lang w:val="en-US"/>
        </w:rPr>
        <w:t>Ulema</w:t>
      </w:r>
      <w:proofErr w:type="spellEnd"/>
      <w:r w:rsidR="009F6DED" w:rsidRPr="009F6DED">
        <w:rPr>
          <w:rFonts w:ascii="Garamond" w:hAnsi="Garamond"/>
          <w:b/>
          <w:bCs/>
          <w:sz w:val="24"/>
          <w:szCs w:val="24"/>
          <w:lang w:val="en-US"/>
        </w:rPr>
        <w:t xml:space="preserve"> Council</w:t>
      </w:r>
      <w:r w:rsidR="009F6DED">
        <w:rPr>
          <w:rFonts w:ascii="Garamond" w:hAnsi="Garamond"/>
          <w:b/>
          <w:bCs/>
          <w:sz w:val="24"/>
          <w:szCs w:val="24"/>
          <w:lang w:val="en-US"/>
        </w:rPr>
        <w:t>)</w:t>
      </w:r>
    </w:p>
    <w:p w:rsidR="00276100" w:rsidRPr="009F6DED" w:rsidRDefault="00276100" w:rsidP="00A11E42">
      <w:pPr>
        <w:spacing w:after="0" w:line="240" w:lineRule="auto"/>
        <w:jc w:val="center"/>
        <w:rPr>
          <w:rFonts w:ascii="Garamond" w:hAnsi="Garamond"/>
          <w:b/>
          <w:bCs/>
          <w:color w:val="FF0000"/>
          <w:sz w:val="24"/>
          <w:szCs w:val="24"/>
        </w:rPr>
      </w:pPr>
    </w:p>
    <w:p w:rsidR="003A2E7A" w:rsidRPr="009F6DED" w:rsidRDefault="005122DC" w:rsidP="00F22878">
      <w:pPr>
        <w:spacing w:after="0" w:line="240" w:lineRule="auto"/>
        <w:jc w:val="center"/>
        <w:outlineLvl w:val="0"/>
        <w:rPr>
          <w:rFonts w:ascii="Garamond" w:hAnsi="Garamond"/>
          <w:b/>
          <w:bCs/>
          <w:sz w:val="24"/>
          <w:szCs w:val="24"/>
        </w:rPr>
      </w:pPr>
      <w:r>
        <w:rPr>
          <w:rFonts w:ascii="Garamond" w:hAnsi="Garamond"/>
          <w:b/>
          <w:bCs/>
          <w:sz w:val="24"/>
          <w:szCs w:val="24"/>
        </w:rPr>
        <w:t xml:space="preserve">Sri Reski </w:t>
      </w:r>
      <w:r>
        <w:rPr>
          <w:rFonts w:ascii="Garamond" w:hAnsi="Garamond"/>
          <w:b/>
          <w:bCs/>
          <w:sz w:val="24"/>
          <w:szCs w:val="24"/>
          <w:lang w:val="en-US"/>
        </w:rPr>
        <w:t>W</w:t>
      </w:r>
      <w:r w:rsidR="003A2E7A" w:rsidRPr="003A2E7A">
        <w:rPr>
          <w:rFonts w:ascii="Garamond" w:hAnsi="Garamond"/>
          <w:b/>
          <w:bCs/>
          <w:sz w:val="24"/>
          <w:szCs w:val="24"/>
        </w:rPr>
        <w:t>ahyuni Nur</w:t>
      </w:r>
      <w:r w:rsidR="003A2E7A" w:rsidRPr="003A2E7A">
        <w:rPr>
          <w:rFonts w:ascii="Garamond" w:hAnsi="Garamond"/>
          <w:b/>
          <w:bCs/>
          <w:sz w:val="24"/>
          <w:szCs w:val="24"/>
          <w:lang w:val="en-US"/>
        </w:rPr>
        <w:t xml:space="preserve">, </w:t>
      </w:r>
      <w:r w:rsidR="003A2E7A" w:rsidRPr="003A2E7A">
        <w:rPr>
          <w:rFonts w:ascii="Garamond" w:hAnsi="Garamond"/>
          <w:b/>
          <w:bCs/>
          <w:sz w:val="24"/>
          <w:szCs w:val="24"/>
        </w:rPr>
        <w:t>Moh</w:t>
      </w:r>
      <w:proofErr w:type="spellStart"/>
      <w:r w:rsidR="00213DDF">
        <w:rPr>
          <w:rFonts w:ascii="Garamond" w:hAnsi="Garamond"/>
          <w:b/>
          <w:bCs/>
          <w:sz w:val="24"/>
          <w:szCs w:val="24"/>
          <w:lang w:val="en-US"/>
        </w:rPr>
        <w:t>ammad</w:t>
      </w:r>
      <w:proofErr w:type="spellEnd"/>
      <w:r w:rsidR="003A2E7A" w:rsidRPr="003A2E7A">
        <w:rPr>
          <w:rFonts w:ascii="Garamond" w:hAnsi="Garamond"/>
          <w:b/>
          <w:bCs/>
          <w:sz w:val="24"/>
          <w:szCs w:val="24"/>
        </w:rPr>
        <w:t xml:space="preserve"> Abdul Kholiq Hasan</w:t>
      </w:r>
      <w:r w:rsidR="003A2E7A" w:rsidRPr="003A2E7A">
        <w:rPr>
          <w:rFonts w:ascii="Garamond" w:hAnsi="Garamond"/>
          <w:b/>
          <w:bCs/>
          <w:sz w:val="24"/>
          <w:szCs w:val="24"/>
          <w:lang w:val="en-US"/>
        </w:rPr>
        <w:t xml:space="preserve">, </w:t>
      </w:r>
      <w:r w:rsidR="003A2E7A" w:rsidRPr="003A2E7A">
        <w:rPr>
          <w:rFonts w:ascii="Garamond" w:hAnsi="Garamond"/>
          <w:b/>
          <w:bCs/>
          <w:sz w:val="24"/>
          <w:szCs w:val="24"/>
        </w:rPr>
        <w:t>Imron Rosyadi</w:t>
      </w:r>
      <w:r w:rsidR="009F6DED">
        <w:rPr>
          <w:rFonts w:ascii="Garamond" w:hAnsi="Garamond"/>
          <w:b/>
          <w:bCs/>
          <w:sz w:val="24"/>
          <w:szCs w:val="24"/>
          <w:lang w:val="en-US"/>
        </w:rPr>
        <w:t xml:space="preserve"> </w:t>
      </w:r>
    </w:p>
    <w:p w:rsidR="002A2DC7" w:rsidRPr="003A2E7A" w:rsidRDefault="003A2E7A" w:rsidP="00F22878">
      <w:pPr>
        <w:pStyle w:val="Body"/>
        <w:spacing w:after="0" w:line="240" w:lineRule="auto"/>
        <w:jc w:val="center"/>
        <w:rPr>
          <w:rFonts w:ascii="Garamond" w:eastAsia="Palatino Linotype" w:hAnsi="Garamond" w:cs="Palatino Linotype"/>
          <w:color w:val="010101"/>
          <w:sz w:val="24"/>
          <w:szCs w:val="24"/>
        </w:rPr>
      </w:pPr>
      <w:proofErr w:type="spellStart"/>
      <w:r w:rsidRPr="003A2E7A">
        <w:rPr>
          <w:rFonts w:ascii="Garamond" w:hAnsi="Garamond" w:cs="Times New Roman"/>
          <w:sz w:val="24"/>
          <w:szCs w:val="24"/>
        </w:rPr>
        <w:t>Universitas</w:t>
      </w:r>
      <w:proofErr w:type="spellEnd"/>
      <w:r w:rsidRPr="003A2E7A">
        <w:rPr>
          <w:rFonts w:ascii="Garamond" w:hAnsi="Garamond" w:cs="Times New Roman"/>
          <w:sz w:val="24"/>
          <w:szCs w:val="24"/>
        </w:rPr>
        <w:t xml:space="preserve"> </w:t>
      </w:r>
      <w:proofErr w:type="spellStart"/>
      <w:r w:rsidRPr="003A2E7A">
        <w:rPr>
          <w:rFonts w:ascii="Garamond" w:hAnsi="Garamond" w:cs="Times New Roman"/>
          <w:sz w:val="24"/>
          <w:szCs w:val="24"/>
        </w:rPr>
        <w:t>Muhammadiyah</w:t>
      </w:r>
      <w:proofErr w:type="spellEnd"/>
      <w:r w:rsidRPr="003A2E7A">
        <w:rPr>
          <w:rFonts w:ascii="Garamond" w:hAnsi="Garamond" w:cs="Times New Roman"/>
          <w:sz w:val="24"/>
          <w:szCs w:val="24"/>
        </w:rPr>
        <w:t xml:space="preserve"> Surakarta, </w:t>
      </w:r>
      <w:proofErr w:type="spellStart"/>
      <w:r w:rsidRPr="003A2E7A">
        <w:rPr>
          <w:rFonts w:ascii="Garamond" w:hAnsi="Garamond" w:cs="Times New Roman"/>
          <w:sz w:val="24"/>
          <w:szCs w:val="24"/>
        </w:rPr>
        <w:t>U</w:t>
      </w:r>
      <w:r w:rsidR="00B57451">
        <w:rPr>
          <w:rFonts w:ascii="Garamond" w:hAnsi="Garamond" w:cs="Times New Roman"/>
          <w:sz w:val="24"/>
          <w:szCs w:val="24"/>
        </w:rPr>
        <w:t>niversitas</w:t>
      </w:r>
      <w:proofErr w:type="spellEnd"/>
      <w:r w:rsidR="00B57451">
        <w:rPr>
          <w:rFonts w:ascii="Garamond" w:hAnsi="Garamond" w:cs="Times New Roman"/>
          <w:sz w:val="24"/>
          <w:szCs w:val="24"/>
        </w:rPr>
        <w:t xml:space="preserve"> </w:t>
      </w:r>
      <w:r w:rsidRPr="003A2E7A">
        <w:rPr>
          <w:rFonts w:ascii="Garamond" w:hAnsi="Garamond" w:cs="Times New Roman"/>
          <w:sz w:val="24"/>
          <w:szCs w:val="24"/>
        </w:rPr>
        <w:t>I</w:t>
      </w:r>
      <w:r w:rsidR="00B57451">
        <w:rPr>
          <w:rFonts w:ascii="Garamond" w:hAnsi="Garamond" w:cs="Times New Roman"/>
          <w:sz w:val="24"/>
          <w:szCs w:val="24"/>
        </w:rPr>
        <w:t xml:space="preserve">slam </w:t>
      </w:r>
      <w:proofErr w:type="spellStart"/>
      <w:r w:rsidRPr="003A2E7A">
        <w:rPr>
          <w:rFonts w:ascii="Garamond" w:hAnsi="Garamond" w:cs="Times New Roman"/>
          <w:sz w:val="24"/>
          <w:szCs w:val="24"/>
        </w:rPr>
        <w:t>N</w:t>
      </w:r>
      <w:r w:rsidR="00B57451">
        <w:rPr>
          <w:rFonts w:ascii="Garamond" w:hAnsi="Garamond" w:cs="Times New Roman"/>
          <w:sz w:val="24"/>
          <w:szCs w:val="24"/>
        </w:rPr>
        <w:t>egeri</w:t>
      </w:r>
      <w:proofErr w:type="spellEnd"/>
      <w:r w:rsidRPr="003A2E7A">
        <w:rPr>
          <w:rFonts w:ascii="Garamond" w:hAnsi="Garamond" w:cs="Times New Roman"/>
          <w:sz w:val="24"/>
          <w:szCs w:val="24"/>
        </w:rPr>
        <w:t xml:space="preserve"> </w:t>
      </w:r>
      <w:proofErr w:type="spellStart"/>
      <w:r w:rsidRPr="003A2E7A">
        <w:rPr>
          <w:rFonts w:ascii="Garamond" w:hAnsi="Garamond" w:cs="Times New Roman"/>
          <w:sz w:val="24"/>
          <w:szCs w:val="24"/>
        </w:rPr>
        <w:t>Raden</w:t>
      </w:r>
      <w:proofErr w:type="spellEnd"/>
      <w:r w:rsidRPr="003A2E7A">
        <w:rPr>
          <w:rFonts w:ascii="Garamond" w:hAnsi="Garamond" w:cs="Times New Roman"/>
          <w:sz w:val="24"/>
          <w:szCs w:val="24"/>
        </w:rPr>
        <w:t xml:space="preserve"> Mas Said Surakarta, </w:t>
      </w:r>
      <w:bookmarkStart w:id="1" w:name="_GoBack"/>
      <w:proofErr w:type="spellStart"/>
      <w:r w:rsidRPr="003A2E7A">
        <w:rPr>
          <w:rFonts w:ascii="Garamond" w:hAnsi="Garamond" w:cs="Times New Roman"/>
          <w:sz w:val="24"/>
          <w:szCs w:val="24"/>
        </w:rPr>
        <w:t>Universitas</w:t>
      </w:r>
      <w:proofErr w:type="spellEnd"/>
      <w:r w:rsidRPr="003A2E7A">
        <w:rPr>
          <w:rFonts w:ascii="Garamond" w:hAnsi="Garamond" w:cs="Times New Roman"/>
          <w:sz w:val="24"/>
          <w:szCs w:val="24"/>
        </w:rPr>
        <w:t xml:space="preserve"> </w:t>
      </w:r>
      <w:proofErr w:type="spellStart"/>
      <w:r w:rsidRPr="003A2E7A">
        <w:rPr>
          <w:rFonts w:ascii="Garamond" w:hAnsi="Garamond" w:cs="Times New Roman"/>
          <w:sz w:val="24"/>
          <w:szCs w:val="24"/>
        </w:rPr>
        <w:t>Muhammadiyah</w:t>
      </w:r>
      <w:proofErr w:type="spellEnd"/>
      <w:r w:rsidRPr="003A2E7A">
        <w:rPr>
          <w:rFonts w:ascii="Garamond" w:hAnsi="Garamond" w:cs="Times New Roman"/>
          <w:sz w:val="24"/>
          <w:szCs w:val="24"/>
        </w:rPr>
        <w:t xml:space="preserve"> Surakarta</w:t>
      </w:r>
      <w:bookmarkEnd w:id="1"/>
    </w:p>
    <w:p w:rsidR="00CB17E4" w:rsidRPr="00B57451" w:rsidRDefault="001F3D71" w:rsidP="00B57451">
      <w:pPr>
        <w:spacing w:after="0" w:line="360" w:lineRule="auto"/>
        <w:jc w:val="center"/>
        <w:outlineLvl w:val="0"/>
        <w:rPr>
          <w:rFonts w:ascii="Garamond" w:hAnsi="Garamond"/>
          <w:sz w:val="24"/>
          <w:szCs w:val="24"/>
          <w:lang w:val="en-US"/>
        </w:rPr>
      </w:pPr>
      <w:r w:rsidRPr="00CB17E4">
        <w:rPr>
          <w:rFonts w:ascii="Garamond" w:hAnsi="Garamond"/>
          <w:sz w:val="24"/>
          <w:szCs w:val="24"/>
          <w:lang w:val="en-US"/>
        </w:rPr>
        <w:t>Em</w:t>
      </w:r>
      <w:r w:rsidR="00CB17E4" w:rsidRPr="00CB17E4">
        <w:rPr>
          <w:rFonts w:ascii="Garamond" w:hAnsi="Garamond"/>
          <w:sz w:val="24"/>
          <w:szCs w:val="24"/>
          <w:lang w:val="en-US"/>
        </w:rPr>
        <w:t>ail:</w:t>
      </w:r>
      <w:r w:rsidR="00CB17E4" w:rsidRPr="00CB17E4">
        <w:rPr>
          <w:rFonts w:ascii="Garamond" w:hAnsi="Garamond"/>
          <w:sz w:val="24"/>
          <w:szCs w:val="24"/>
        </w:rPr>
        <w:t xml:space="preserve"> </w:t>
      </w:r>
      <w:r w:rsidR="00B57451" w:rsidRPr="00B57451">
        <w:rPr>
          <w:rFonts w:ascii="Garamond" w:hAnsi="Garamond" w:hint="cs"/>
          <w:sz w:val="24"/>
          <w:szCs w:val="24"/>
        </w:rPr>
        <w:t>srireskinur@gmail.com</w:t>
      </w:r>
    </w:p>
    <w:p w:rsidR="00CB17E4" w:rsidRPr="00F22878" w:rsidRDefault="00CB17E4" w:rsidP="00F22878">
      <w:pPr>
        <w:spacing w:after="0" w:line="360" w:lineRule="auto"/>
        <w:jc w:val="center"/>
        <w:rPr>
          <w:rFonts w:ascii="Garamond" w:hAnsi="Garamond"/>
          <w:sz w:val="24"/>
          <w:szCs w:val="24"/>
          <w:lang w:val="en-US"/>
        </w:rPr>
      </w:pPr>
    </w:p>
    <w:p w:rsidR="00CB17E4" w:rsidRPr="004A65FC" w:rsidRDefault="00CB17E4" w:rsidP="00F22878">
      <w:pPr>
        <w:spacing w:after="0" w:line="360" w:lineRule="auto"/>
        <w:jc w:val="center"/>
        <w:rPr>
          <w:rFonts w:ascii="Sakkal Majalla" w:hAnsi="Sakkal Majalla" w:cs="Sakkal Majalla"/>
          <w:bCs/>
          <w:sz w:val="28"/>
          <w:szCs w:val="28"/>
          <w:lang w:val="en-US"/>
        </w:rPr>
      </w:pPr>
      <w:r w:rsidRPr="004A65FC">
        <w:rPr>
          <w:rFonts w:ascii="Sakkal Majalla" w:hAnsi="Sakkal Majalla" w:cs="Sakkal Majalla" w:hint="cs"/>
          <w:bCs/>
          <w:sz w:val="28"/>
          <w:szCs w:val="28"/>
          <w:rtl/>
        </w:rPr>
        <w:t>الملخص</w:t>
      </w:r>
    </w:p>
    <w:p w:rsidR="00CB17E4" w:rsidRDefault="00CB17E4" w:rsidP="00F22878">
      <w:pPr>
        <w:bidi/>
        <w:spacing w:after="0" w:line="240" w:lineRule="auto"/>
        <w:jc w:val="both"/>
        <w:rPr>
          <w:rFonts w:ascii="Sakkal Majalla" w:hAnsi="Sakkal Majalla" w:cs="Sakkal Majalla"/>
          <w:sz w:val="28"/>
          <w:szCs w:val="28"/>
          <w:lang w:val="en-US"/>
        </w:rPr>
      </w:pPr>
      <w:r w:rsidRPr="00E74E34">
        <w:rPr>
          <w:rFonts w:ascii="Sakkal Majalla" w:hAnsi="Sakkal Majalla" w:cs="Sakkal Majalla" w:hint="cs"/>
          <w:sz w:val="28"/>
          <w:szCs w:val="28"/>
          <w:rtl/>
        </w:rPr>
        <w:t>تهدف الدراسة معرفة موقف القاعدة "أينما وجدت المصلحة فثم حكم الله" لدى الهيئة الشرعية الوطنية لمجلس العلماء الإندونيسي ومنهجها في تطبيق القاعدة في فتاواها</w:t>
      </w:r>
      <w:r w:rsidR="00EB53D1">
        <w:rPr>
          <w:rFonts w:ascii="Sakkal Majalla" w:hAnsi="Sakkal Majalla" w:cs="Sakkal Majalla" w:hint="cs"/>
          <w:sz w:val="28"/>
          <w:szCs w:val="28"/>
          <w:rtl/>
        </w:rPr>
        <w:t xml:space="preserve"> </w:t>
      </w:r>
      <w:r w:rsidR="00EB53D1" w:rsidRPr="00EB53D1">
        <w:rPr>
          <w:rFonts w:ascii="Sakkal Majalla" w:hAnsi="Sakkal Majalla" w:cs="Sakkal Majalla"/>
          <w:sz w:val="28"/>
          <w:szCs w:val="28"/>
          <w:rtl/>
        </w:rPr>
        <w:t>خاصة تلك المتعلقة بالتربية الإسلامية</w:t>
      </w:r>
      <w:r w:rsidRPr="00E74E34">
        <w:rPr>
          <w:rFonts w:ascii="Sakkal Majalla" w:hAnsi="Sakkal Majalla" w:cs="Sakkal Majalla" w:hint="cs"/>
          <w:sz w:val="28"/>
          <w:szCs w:val="28"/>
          <w:rtl/>
        </w:rPr>
        <w:t xml:space="preserve">. واعتمدت الدراسة على منهج البحث الوصفي التحليلي، بطريقة تحليل المحتوي أو ما يسمى </w:t>
      </w:r>
      <w:r w:rsidRPr="00E74E34">
        <w:rPr>
          <w:rFonts w:ascii="Sakkal Majalla" w:hAnsi="Sakkal Majalla" w:cs="Sakkal Majalla" w:hint="cs"/>
          <w:i/>
          <w:iCs/>
          <w:sz w:val="28"/>
          <w:szCs w:val="28"/>
        </w:rPr>
        <w:t>(content analysis)</w:t>
      </w:r>
      <w:r w:rsidRPr="00E74E34">
        <w:rPr>
          <w:rFonts w:ascii="Sakkal Majalla" w:hAnsi="Sakkal Majalla" w:cs="Sakkal Majalla" w:hint="cs"/>
          <w:sz w:val="28"/>
          <w:szCs w:val="28"/>
          <w:rtl/>
        </w:rPr>
        <w:t xml:space="preserve"> وقد توصلت الدراسة إلى القول بأن موقف القاعدة لدى الهيئة مهم جدا في استنباط الحكم، وذلك يظهر في استخدام الهيئة هذه القاعدة في ثمانية وعشرون فتوى من 143 فتوى، وأن منهج الهيئة الشرعية في تطبيق القاعدة هي منهج السلف الصالح في تطبيق المصلحة مع مراعاة ضوابط المصلحة إلا في بعض الأحيان فإن الهيئة يقدم المصلحة، لأن من منهج الهيئة هو التيسير المنهجي وإعادة النظر التي تعتمد إليهما في إصدار الفتوى لمصلحة الأمة.</w:t>
      </w:r>
    </w:p>
    <w:p w:rsidR="009F6DED" w:rsidRPr="006E5C3B" w:rsidRDefault="009F6DED" w:rsidP="00F22878">
      <w:pPr>
        <w:bidi/>
        <w:spacing w:after="0" w:line="240" w:lineRule="auto"/>
        <w:jc w:val="both"/>
        <w:rPr>
          <w:rFonts w:ascii="Sakkal Majalla" w:hAnsi="Sakkal Majalla" w:cs="Sakkal Majalla"/>
          <w:sz w:val="24"/>
          <w:szCs w:val="24"/>
          <w:lang w:val="en-US"/>
        </w:rPr>
      </w:pPr>
    </w:p>
    <w:p w:rsidR="00CB17E4" w:rsidRPr="00E74E34" w:rsidRDefault="00CB17E4" w:rsidP="00F22878">
      <w:pPr>
        <w:bidi/>
        <w:spacing w:after="0" w:line="360" w:lineRule="auto"/>
        <w:rPr>
          <w:rFonts w:ascii="Sakkal Majalla" w:hAnsi="Sakkal Majalla" w:cs="Sakkal Majalla"/>
          <w:sz w:val="28"/>
          <w:szCs w:val="28"/>
          <w:lang w:val="en-US" w:bidi="ar-YE"/>
        </w:rPr>
      </w:pPr>
      <w:r w:rsidRPr="00E74E34">
        <w:rPr>
          <w:rFonts w:ascii="Sakkal Majalla" w:hAnsi="Sakkal Majalla" w:cs="Sakkal Majalla" w:hint="cs"/>
          <w:bCs/>
          <w:sz w:val="28"/>
          <w:szCs w:val="28"/>
          <w:rtl/>
        </w:rPr>
        <w:t>الكلمات المفتاحية</w:t>
      </w:r>
      <w:r w:rsidR="00E74E34">
        <w:rPr>
          <w:rFonts w:ascii="Sakkal Majalla" w:hAnsi="Sakkal Majalla" w:cs="Sakkal Majalla"/>
          <w:bCs/>
          <w:sz w:val="28"/>
          <w:szCs w:val="28"/>
          <w:lang w:val="en-US"/>
        </w:rPr>
        <w:t>:</w:t>
      </w:r>
      <w:r w:rsidRPr="00E74E34">
        <w:rPr>
          <w:rFonts w:ascii="Sakkal Majalla" w:hAnsi="Sakkal Majalla" w:cs="Sakkal Majalla" w:hint="cs"/>
          <w:sz w:val="28"/>
          <w:szCs w:val="28"/>
          <w:rtl/>
        </w:rPr>
        <w:t xml:space="preserve"> </w:t>
      </w:r>
      <w:r w:rsidR="00E74E34" w:rsidRPr="00E74E34">
        <w:rPr>
          <w:rFonts w:ascii="Sakkal Majalla" w:hAnsi="Sakkal Majalla" w:cs="Sakkal Majalla" w:hint="cs"/>
          <w:sz w:val="28"/>
          <w:szCs w:val="28"/>
          <w:rtl/>
        </w:rPr>
        <w:t>مصلحة</w:t>
      </w:r>
      <w:r w:rsidR="004A1695">
        <w:rPr>
          <w:rFonts w:ascii="Sakkal Majalla" w:hAnsi="Sakkal Majalla" w:cs="Sakkal Majalla" w:hint="cs"/>
          <w:sz w:val="28"/>
          <w:szCs w:val="28"/>
          <w:rtl/>
          <w:lang w:val="en-US"/>
        </w:rPr>
        <w:t>,</w:t>
      </w:r>
      <w:r w:rsidR="004A1695">
        <w:rPr>
          <w:rFonts w:ascii="Sakkal Majalla" w:hAnsi="Sakkal Majalla" w:cs="Sakkal Majalla" w:hint="cs"/>
          <w:sz w:val="28"/>
          <w:szCs w:val="28"/>
          <w:rtl/>
        </w:rPr>
        <w:t xml:space="preserve"> فتوى, قاعدة, تطبيق</w:t>
      </w:r>
    </w:p>
    <w:p w:rsidR="00F22878" w:rsidRDefault="00F22878" w:rsidP="00F22878">
      <w:pPr>
        <w:spacing w:after="0" w:line="360" w:lineRule="auto"/>
        <w:jc w:val="center"/>
        <w:rPr>
          <w:rStyle w:val="None"/>
          <w:rFonts w:ascii="Garamond" w:hAnsi="Garamond"/>
          <w:b/>
          <w:bCs/>
          <w:color w:val="010101"/>
          <w:sz w:val="24"/>
          <w:szCs w:val="24"/>
          <w:lang w:val="de-DE"/>
        </w:rPr>
      </w:pPr>
    </w:p>
    <w:p w:rsidR="008D10F1" w:rsidRPr="00E74E34" w:rsidRDefault="00CB17E4" w:rsidP="00F22878">
      <w:pPr>
        <w:spacing w:after="0" w:line="360" w:lineRule="auto"/>
        <w:jc w:val="center"/>
        <w:rPr>
          <w:rFonts w:ascii="Garamond" w:eastAsia="Garamond" w:hAnsi="Garamond" w:cs="Garamond"/>
          <w:b/>
          <w:bCs/>
          <w:color w:val="010101"/>
          <w:sz w:val="24"/>
          <w:szCs w:val="24"/>
        </w:rPr>
      </w:pPr>
      <w:r w:rsidRPr="00E74E34">
        <w:rPr>
          <w:rStyle w:val="None"/>
          <w:rFonts w:ascii="Garamond" w:hAnsi="Garamond"/>
          <w:b/>
          <w:bCs/>
          <w:color w:val="010101"/>
          <w:sz w:val="24"/>
          <w:szCs w:val="24"/>
          <w:lang w:val="de-DE"/>
        </w:rPr>
        <w:t xml:space="preserve"> </w:t>
      </w:r>
      <w:r w:rsidR="002A2DC7" w:rsidRPr="00E74E34">
        <w:rPr>
          <w:rStyle w:val="None"/>
          <w:rFonts w:ascii="Garamond" w:hAnsi="Garamond"/>
          <w:b/>
          <w:bCs/>
          <w:color w:val="010101"/>
          <w:sz w:val="24"/>
          <w:szCs w:val="24"/>
          <w:lang w:val="de-DE"/>
        </w:rPr>
        <w:t>Abstract</w:t>
      </w:r>
    </w:p>
    <w:p w:rsidR="006D2CE4" w:rsidRDefault="00CB17E4" w:rsidP="00B97014">
      <w:pPr>
        <w:spacing w:before="240" w:after="0" w:line="240" w:lineRule="auto"/>
        <w:ind w:firstLine="11"/>
        <w:jc w:val="both"/>
        <w:rPr>
          <w:rFonts w:ascii="Garamond" w:hAnsi="Garamond" w:cs="Traditional Arabic"/>
          <w:sz w:val="24"/>
          <w:szCs w:val="24"/>
        </w:rPr>
      </w:pPr>
      <w:r w:rsidRPr="00E74E34">
        <w:rPr>
          <w:rFonts w:ascii="Garamond" w:hAnsi="Garamond" w:cs="Traditional Arabic"/>
          <w:sz w:val="24"/>
          <w:szCs w:val="24"/>
        </w:rPr>
        <w:t xml:space="preserve">The study aims to know the position of the rule “wherever there is interest, then God’s judgment” with the National Shariah Board of the Indonesian Ulema Council and its approach to applying the rule in its </w:t>
      </w:r>
      <w:r w:rsidR="002815FB">
        <w:rPr>
          <w:rFonts w:ascii="Garamond" w:hAnsi="Garamond" w:cs="Traditional Arabic"/>
          <w:sz w:val="24"/>
          <w:szCs w:val="24"/>
        </w:rPr>
        <w:t>fatwa</w:t>
      </w:r>
      <w:r w:rsidR="00B97014" w:rsidRPr="00B97014">
        <w:rPr>
          <w:rFonts w:ascii="Garamond" w:hAnsi="Garamond" w:cs="Traditional Arabic"/>
          <w:sz w:val="24"/>
          <w:szCs w:val="24"/>
          <w:lang w:val="en-US"/>
        </w:rPr>
        <w:t>, especially those related to Islamic education</w:t>
      </w:r>
      <w:r w:rsidRPr="00E74E34">
        <w:rPr>
          <w:rFonts w:ascii="Garamond" w:hAnsi="Garamond" w:cs="Traditional Arabic"/>
          <w:sz w:val="24"/>
          <w:szCs w:val="24"/>
        </w:rPr>
        <w:t xml:space="preserve">. The study relied on the analytical descriptive research method, </w:t>
      </w:r>
      <w:r w:rsidR="00EB53D1">
        <w:rPr>
          <w:rFonts w:ascii="Garamond" w:hAnsi="Garamond" w:cs="Traditional Arabic"/>
          <w:sz w:val="24"/>
          <w:szCs w:val="24"/>
          <w:lang w:val="en-US"/>
        </w:rPr>
        <w:t>law</w:t>
      </w:r>
      <w:r w:rsidRPr="00E74E34">
        <w:rPr>
          <w:rFonts w:ascii="Garamond" w:hAnsi="Garamond" w:cs="Traditional Arabic"/>
          <w:sz w:val="24"/>
          <w:szCs w:val="24"/>
        </w:rPr>
        <w:t xml:space="preserve"> the method of content analysis or the so-called (content analysis). The study concluded that the position of the rule with the authority is very important in deducing the ruling, and this appears in the authority’s use of this rule in twenty-eight </w:t>
      </w:r>
      <w:r w:rsidR="002815FB">
        <w:rPr>
          <w:rFonts w:ascii="Garamond" w:hAnsi="Garamond" w:cs="Traditional Arabic"/>
          <w:sz w:val="24"/>
          <w:szCs w:val="24"/>
        </w:rPr>
        <w:t>fatwa</w:t>
      </w:r>
      <w:r w:rsidRPr="00E74E34">
        <w:rPr>
          <w:rFonts w:ascii="Garamond" w:hAnsi="Garamond" w:cs="Traditional Arabic"/>
          <w:sz w:val="24"/>
          <w:szCs w:val="24"/>
        </w:rPr>
        <w:t xml:space="preserve"> out of 143 </w:t>
      </w:r>
      <w:r w:rsidR="002815FB">
        <w:rPr>
          <w:rFonts w:ascii="Garamond" w:hAnsi="Garamond" w:cs="Traditional Arabic"/>
          <w:sz w:val="24"/>
          <w:szCs w:val="24"/>
        </w:rPr>
        <w:t>fatwa</w:t>
      </w:r>
      <w:r w:rsidRPr="00E74E34">
        <w:rPr>
          <w:rFonts w:ascii="Garamond" w:hAnsi="Garamond" w:cs="Traditional Arabic"/>
          <w:sz w:val="24"/>
          <w:szCs w:val="24"/>
        </w:rPr>
        <w:t xml:space="preserve">, and that The approach of the Shariah board in applying the rule is the approach of the righteous predecessors in applying the interest, taking into account the </w:t>
      </w:r>
      <w:r w:rsidRPr="00E74E34">
        <w:rPr>
          <w:rFonts w:ascii="Garamond" w:hAnsi="Garamond" w:cs="Traditional Arabic"/>
          <w:sz w:val="24"/>
          <w:szCs w:val="24"/>
        </w:rPr>
        <w:lastRenderedPageBreak/>
        <w:t>controls of the interest, except in some cases, the board advances the interest, because one of the committee’s approach is the systematic facilitation and reconsideration that depends on them in issuing the fatwa for the benefit of the nation.</w:t>
      </w:r>
    </w:p>
    <w:p w:rsidR="004A65FC" w:rsidRDefault="004A65FC" w:rsidP="004A65FC">
      <w:pPr>
        <w:spacing w:after="0" w:line="240" w:lineRule="auto"/>
        <w:ind w:right="6" w:firstLine="11"/>
        <w:rPr>
          <w:rStyle w:val="None"/>
          <w:rFonts w:ascii="Garamond" w:hAnsi="Garamond"/>
          <w:b/>
          <w:bCs/>
          <w:color w:val="010101"/>
          <w:sz w:val="24"/>
          <w:szCs w:val="24"/>
          <w:u w:color="C00000"/>
          <w:lang w:val="en-US"/>
        </w:rPr>
      </w:pPr>
    </w:p>
    <w:p w:rsidR="0048254B" w:rsidRDefault="002A2DC7" w:rsidP="004A65FC">
      <w:pPr>
        <w:spacing w:after="0" w:line="240" w:lineRule="auto"/>
        <w:ind w:right="6" w:firstLine="11"/>
        <w:rPr>
          <w:rFonts w:ascii="Garamond" w:hAnsi="Garamond" w:cs="Traditional Arabic"/>
          <w:sz w:val="24"/>
          <w:szCs w:val="24"/>
          <w:lang w:val="en-US"/>
        </w:rPr>
      </w:pPr>
      <w:r w:rsidRPr="00E74E34">
        <w:rPr>
          <w:rStyle w:val="None"/>
          <w:rFonts w:ascii="Garamond" w:hAnsi="Garamond"/>
          <w:b/>
          <w:bCs/>
          <w:color w:val="010101"/>
          <w:sz w:val="24"/>
          <w:szCs w:val="24"/>
          <w:u w:color="C00000"/>
        </w:rPr>
        <w:t>Keywords:</w:t>
      </w:r>
      <w:r w:rsidRPr="00E74E34">
        <w:rPr>
          <w:rStyle w:val="None"/>
          <w:rFonts w:ascii="Garamond" w:hAnsi="Garamond"/>
          <w:color w:val="010101"/>
          <w:sz w:val="24"/>
          <w:szCs w:val="24"/>
          <w:u w:color="C00000"/>
        </w:rPr>
        <w:t xml:space="preserve"> </w:t>
      </w:r>
      <w:r w:rsidR="00CB17E4" w:rsidRPr="00E74E34">
        <w:rPr>
          <w:rFonts w:ascii="Garamond" w:hAnsi="Garamond" w:cs="Traditional Arabic"/>
          <w:sz w:val="24"/>
          <w:szCs w:val="24"/>
        </w:rPr>
        <w:t>Masla</w:t>
      </w:r>
      <w:r w:rsidR="004A1695">
        <w:rPr>
          <w:rFonts w:ascii="Garamond" w:hAnsi="Garamond" w:cs="Traditional Arabic"/>
          <w:sz w:val="24"/>
          <w:szCs w:val="24"/>
        </w:rPr>
        <w:t>hat, Fatwa, Rules, Application</w:t>
      </w:r>
    </w:p>
    <w:p w:rsidR="009F6DED" w:rsidRDefault="009F6DED" w:rsidP="004A1695">
      <w:pPr>
        <w:spacing w:after="0" w:line="240" w:lineRule="auto"/>
        <w:ind w:right="6" w:firstLine="11"/>
        <w:rPr>
          <w:rFonts w:ascii="Garamond" w:hAnsi="Garamond" w:cs="Traditional Arabic"/>
          <w:sz w:val="24"/>
          <w:szCs w:val="24"/>
          <w:lang w:val="en-US"/>
        </w:rPr>
        <w:sectPr w:rsidR="009F6DED" w:rsidSect="004A65F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39" w:code="9"/>
          <w:pgMar w:top="1440" w:right="1440" w:bottom="1440" w:left="1440" w:header="864" w:footer="576" w:gutter="0"/>
          <w:pgNumType w:start="155"/>
          <w:cols w:space="720"/>
          <w:titlePg/>
          <w:docGrid w:linePitch="360"/>
        </w:sectPr>
      </w:pPr>
    </w:p>
    <w:p w:rsidR="004A1695" w:rsidRDefault="004A1695" w:rsidP="004A1695">
      <w:pPr>
        <w:spacing w:after="0" w:line="240" w:lineRule="auto"/>
        <w:ind w:right="6" w:firstLine="11"/>
        <w:rPr>
          <w:rFonts w:ascii="Garamond" w:hAnsi="Garamond" w:cs="Traditional Arabic"/>
          <w:sz w:val="24"/>
          <w:szCs w:val="24"/>
          <w:lang w:val="en-US"/>
        </w:rPr>
      </w:pPr>
    </w:p>
    <w:p w:rsidR="00E52F0F" w:rsidRPr="00B274B3" w:rsidRDefault="00E52F0F" w:rsidP="0056049F">
      <w:pPr>
        <w:bidi/>
        <w:spacing w:before="240" w:after="0" w:line="360" w:lineRule="auto"/>
        <w:jc w:val="both"/>
        <w:rPr>
          <w:rFonts w:ascii="Sakkal Majalla" w:hAnsi="Sakkal Majalla" w:cs="Sakkal Majalla"/>
          <w:b/>
          <w:bCs/>
          <w:sz w:val="28"/>
          <w:szCs w:val="28"/>
          <w:lang w:val="en-ID" w:eastAsia="id-ID"/>
        </w:rPr>
      </w:pPr>
      <w:r w:rsidRPr="00B274B3">
        <w:rPr>
          <w:rFonts w:ascii="Sakkal Majalla" w:hAnsi="Sakkal Majalla" w:cs="Sakkal Majalla" w:hint="cs"/>
          <w:b/>
          <w:bCs/>
          <w:sz w:val="28"/>
          <w:szCs w:val="28"/>
          <w:rtl/>
          <w:lang w:val="en-ID" w:eastAsia="id-ID"/>
        </w:rPr>
        <w:t xml:space="preserve">المقدمة: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Pr>
      </w:pPr>
      <w:r w:rsidRPr="00E74E34">
        <w:rPr>
          <w:rFonts w:ascii="Sakkal Majalla" w:eastAsia="Times New Roman" w:hAnsi="Sakkal Majalla" w:cs="Sakkal Majalla" w:hint="cs"/>
          <w:color w:val="000000"/>
          <w:sz w:val="28"/>
          <w:szCs w:val="28"/>
          <w:rtl/>
        </w:rPr>
        <w:t xml:space="preserve">إن من المعلوم علما أن </w:t>
      </w:r>
      <w:r w:rsidRPr="00E74E34">
        <w:rPr>
          <w:rFonts w:ascii="Sakkal Majalla" w:eastAsia="Times New Roman" w:hAnsi="Sakkal Majalla" w:cs="Sakkal Majalla" w:hint="cs"/>
          <w:color w:val="000000"/>
          <w:sz w:val="28"/>
          <w:szCs w:val="28"/>
          <w:rtl/>
          <w:lang w:val="en-ID"/>
        </w:rPr>
        <w:t>تطور التكنولوجي يتحرك بشكل ديناميكي</w:t>
      </w:r>
      <w:r w:rsidR="00A11E42">
        <w:rPr>
          <w:rStyle w:val="EndnoteReference"/>
          <w:rFonts w:ascii="Sakkal Majalla" w:eastAsia="Times New Roman" w:hAnsi="Sakkal Majalla" w:cs="Sakkal Majalla"/>
          <w:color w:val="000000"/>
          <w:sz w:val="28"/>
          <w:szCs w:val="28"/>
          <w:rtl/>
          <w:lang w:val="en-ID"/>
        </w:rPr>
        <w:endnoteReference w:id="1"/>
      </w:r>
      <w:r w:rsidRPr="00E74E34">
        <w:rPr>
          <w:rFonts w:ascii="Sakkal Majalla" w:eastAsia="Times New Roman" w:hAnsi="Sakkal Majalla" w:cs="Sakkal Majalla" w:hint="cs"/>
          <w:color w:val="000000"/>
          <w:sz w:val="28"/>
          <w:szCs w:val="28"/>
          <w:rtl/>
          <w:lang w:val="en-ID"/>
        </w:rPr>
        <w:t xml:space="preserve"> وذلك يؤ</w:t>
      </w:r>
      <w:r w:rsidRPr="00E74E34">
        <w:rPr>
          <w:rFonts w:ascii="Sakkal Majalla" w:eastAsia="Times New Roman" w:hAnsi="Sakkal Majalla" w:cs="Sakkal Majalla" w:hint="cs"/>
          <w:color w:val="000000"/>
          <w:sz w:val="28"/>
          <w:szCs w:val="28"/>
          <w:rtl/>
        </w:rPr>
        <w:t>دى إلى ظهور المعاملات التجارية والمصرفية المعاصرة بصورها الجديدة وأشكالها المتنوعة التي لم تكن معروفة من قبل في المصادر الفقهية القديمة.</w:t>
      </w:r>
      <w:r w:rsidR="00A11E42">
        <w:rPr>
          <w:rStyle w:val="EndnoteReference"/>
          <w:rFonts w:ascii="Sakkal Majalla" w:eastAsia="Times New Roman" w:hAnsi="Sakkal Majalla" w:cs="Sakkal Majalla"/>
          <w:color w:val="000000"/>
          <w:sz w:val="28"/>
          <w:szCs w:val="28"/>
          <w:rtl/>
        </w:rPr>
        <w:endnoteReference w:id="2"/>
      </w:r>
      <w:r w:rsidRPr="00E74E34">
        <w:rPr>
          <w:rFonts w:ascii="Sakkal Majalla" w:eastAsia="Times New Roman" w:hAnsi="Sakkal Majalla" w:cs="Sakkal Majalla" w:hint="cs"/>
          <w:color w:val="000000"/>
          <w:sz w:val="28"/>
          <w:szCs w:val="28"/>
          <w:rtl/>
        </w:rPr>
        <w:t xml:space="preserve"> استجابة عن ذلك، أنشأ مجلس العلماء الإندونيسي هيئة تراقب جميع أنشطة المؤسسة المالية، </w:t>
      </w:r>
      <w:r w:rsidRPr="00E74E34">
        <w:rPr>
          <w:rFonts w:ascii="Sakkal Majalla" w:eastAsia="Times New Roman" w:hAnsi="Sakkal Majalla" w:cs="Sakkal Majalla" w:hint="cs"/>
          <w:color w:val="000000"/>
          <w:sz w:val="28"/>
          <w:szCs w:val="28"/>
          <w:rtl/>
          <w:lang w:bidi="ar-EG"/>
        </w:rPr>
        <w:t>وهي نتيجة من ندوة العلماء حول الصناديق الاستثمارية الذي عقد 29-30 يوليو 1997م</w:t>
      </w:r>
      <w:r w:rsidRPr="00E74E34">
        <w:rPr>
          <w:rFonts w:ascii="Sakkal Majalla" w:eastAsia="Times New Roman" w:hAnsi="Sakkal Majalla" w:cs="Sakkal Majalla" w:hint="cs"/>
          <w:color w:val="000000"/>
          <w:sz w:val="28"/>
          <w:szCs w:val="28"/>
          <w:rtl/>
        </w:rPr>
        <w:t>.</w:t>
      </w:r>
      <w:r w:rsidR="00A11E42">
        <w:rPr>
          <w:rStyle w:val="EndnoteReference"/>
          <w:rFonts w:ascii="Sakkal Majalla" w:eastAsia="Times New Roman" w:hAnsi="Sakkal Majalla" w:cs="Sakkal Majalla"/>
          <w:color w:val="000000"/>
          <w:sz w:val="28"/>
          <w:szCs w:val="28"/>
          <w:rtl/>
        </w:rPr>
        <w:endnoteReference w:id="3"/>
      </w:r>
    </w:p>
    <w:p w:rsidR="00F22878" w:rsidRDefault="00E52F0F" w:rsidP="0056049F">
      <w:pPr>
        <w:bidi/>
        <w:spacing w:before="240" w:after="0" w:line="360" w:lineRule="auto"/>
        <w:ind w:firstLine="720"/>
        <w:jc w:val="both"/>
        <w:rPr>
          <w:rFonts w:ascii="Sakkal Majalla" w:eastAsia="Times New Roman" w:hAnsi="Sakkal Majalla" w:cs="Sakkal Majalla"/>
          <w:color w:val="000000"/>
          <w:sz w:val="28"/>
          <w:szCs w:val="28"/>
          <w:rtl/>
          <w:lang w:bidi="ar-YE"/>
        </w:rPr>
      </w:pPr>
      <w:r w:rsidRPr="00E74E34">
        <w:rPr>
          <w:rFonts w:ascii="Sakkal Majalla" w:eastAsia="Times New Roman" w:hAnsi="Sakkal Majalla" w:cs="Sakkal Majalla" w:hint="cs"/>
          <w:color w:val="000000"/>
          <w:sz w:val="28"/>
          <w:szCs w:val="28"/>
          <w:rtl/>
          <w:lang w:bidi="ar-EG"/>
        </w:rPr>
        <w:t>لأجل تحقيق تطلعات المسلمين فيما يتعل</w:t>
      </w:r>
      <w:r w:rsidR="00A11E42">
        <w:rPr>
          <w:rFonts w:ascii="Sakkal Majalla" w:eastAsia="Times New Roman" w:hAnsi="Sakkal Majalla" w:cs="Sakkal Majalla" w:hint="cs"/>
          <w:color w:val="000000"/>
          <w:sz w:val="28"/>
          <w:szCs w:val="28"/>
          <w:rtl/>
          <w:lang w:bidi="ar-EG"/>
        </w:rPr>
        <w:t>ق بالقضايا الاقتصادية المعاصرة،</w:t>
      </w:r>
      <w:r w:rsidR="00A11E42">
        <w:rPr>
          <w:rFonts w:ascii="Sakkal Majalla" w:eastAsia="Times New Roman" w:hAnsi="Sakkal Majalla" w:cs="Sakkal Majalla"/>
          <w:color w:val="000000"/>
          <w:sz w:val="28"/>
          <w:szCs w:val="28"/>
          <w:lang w:val="en-US" w:bidi="ar-EG"/>
        </w:rPr>
        <w:t xml:space="preserve"> </w:t>
      </w:r>
      <w:r w:rsidRPr="00E74E34">
        <w:rPr>
          <w:rFonts w:ascii="Sakkal Majalla" w:eastAsia="Times New Roman" w:hAnsi="Sakkal Majalla" w:cs="Sakkal Majalla" w:hint="cs"/>
          <w:color w:val="000000"/>
          <w:sz w:val="28"/>
          <w:szCs w:val="28"/>
          <w:rtl/>
          <w:lang w:bidi="ar-EG"/>
        </w:rPr>
        <w:t>فلهيئة الشرعية الوطنية دور مهم وإسهام عظيم بصن</w:t>
      </w:r>
      <w:r w:rsidRPr="00E74E34">
        <w:rPr>
          <w:rFonts w:ascii="Sakkal Majalla" w:eastAsia="Times New Roman" w:hAnsi="Sakkal Majalla" w:cs="Sakkal Majalla" w:hint="cs"/>
          <w:color w:val="000000"/>
          <w:sz w:val="28"/>
          <w:szCs w:val="28"/>
          <w:rtl/>
        </w:rPr>
        <w:t>ا</w:t>
      </w:r>
      <w:r w:rsidRPr="00E74E34">
        <w:rPr>
          <w:rFonts w:ascii="Sakkal Majalla" w:eastAsia="Times New Roman" w:hAnsi="Sakkal Majalla" w:cs="Sakkal Majalla" w:hint="cs"/>
          <w:color w:val="000000"/>
          <w:sz w:val="28"/>
          <w:szCs w:val="28"/>
          <w:rtl/>
          <w:lang w:bidi="ar-EG"/>
        </w:rPr>
        <w:t>عة الفتاوى وإصدارها</w:t>
      </w:r>
      <w:r w:rsidRPr="00E74E34">
        <w:rPr>
          <w:rFonts w:ascii="Sakkal Majalla" w:eastAsia="Times New Roman" w:hAnsi="Sakkal Majalla" w:cs="Sakkal Majalla" w:hint="cs"/>
          <w:color w:val="000000"/>
          <w:sz w:val="28"/>
          <w:szCs w:val="28"/>
          <w:rtl/>
        </w:rPr>
        <w:t>.</w:t>
      </w:r>
      <w:r w:rsidR="00A11E42">
        <w:rPr>
          <w:rStyle w:val="EndnoteReference"/>
          <w:rFonts w:ascii="Sakkal Majalla" w:eastAsia="Times New Roman" w:hAnsi="Sakkal Majalla" w:cs="Sakkal Majalla"/>
          <w:color w:val="000000"/>
          <w:sz w:val="28"/>
          <w:szCs w:val="28"/>
          <w:rtl/>
        </w:rPr>
        <w:endnoteReference w:id="4"/>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val="en-ID"/>
        </w:rPr>
        <w:t>وذلك إجابة عن مشكلات التي يواجهها المسلمون ومحاولة للبحث عن حلولها والتي تزداد تعقيدًا وتنوعًا يومًا بعد يوم خصوصا بوجود تقدم التكنولوجيا وظهور معاملات الاقتصادية الجديدة في هذا العصر الحديث.</w:t>
      </w:r>
      <w:r w:rsidR="00A11E42">
        <w:rPr>
          <w:rStyle w:val="EndnoteReference"/>
          <w:rFonts w:ascii="Sakkal Majalla" w:eastAsia="Times New Roman" w:hAnsi="Sakkal Majalla" w:cs="Sakkal Majalla"/>
          <w:color w:val="000000"/>
          <w:sz w:val="28"/>
          <w:szCs w:val="28"/>
          <w:rtl/>
          <w:lang w:val="en-ID"/>
        </w:rPr>
        <w:endnoteReference w:id="5"/>
      </w:r>
      <w:r w:rsidRPr="00E74E34">
        <w:rPr>
          <w:rFonts w:ascii="Sakkal Majalla" w:eastAsia="Times New Roman" w:hAnsi="Sakkal Majalla" w:cs="Sakkal Majalla" w:hint="cs"/>
          <w:color w:val="000000"/>
          <w:sz w:val="28"/>
          <w:szCs w:val="28"/>
          <w:rtl/>
          <w:lang w:val="en-ID"/>
        </w:rPr>
        <w:t xml:space="preserve"> ولكن </w:t>
      </w:r>
      <w:r w:rsidRPr="00E74E34">
        <w:rPr>
          <w:rFonts w:ascii="Sakkal Majalla" w:eastAsia="Times New Roman" w:hAnsi="Sakkal Majalla" w:cs="Sakkal Majalla" w:hint="cs"/>
          <w:color w:val="000000"/>
          <w:sz w:val="28"/>
          <w:szCs w:val="28"/>
          <w:rtl/>
          <w:lang w:bidi="ar-EG"/>
        </w:rPr>
        <w:t xml:space="preserve">يظهر الانتقادات من العلماء الأخرين الباحثين والمهتمين بالفقه الإسلامي </w:t>
      </w:r>
    </w:p>
    <w:p w:rsidR="00F22878" w:rsidRDefault="00F22878" w:rsidP="00F22878">
      <w:pPr>
        <w:bidi/>
        <w:spacing w:before="240" w:after="0" w:line="360" w:lineRule="auto"/>
        <w:jc w:val="both"/>
        <w:rPr>
          <w:rFonts w:ascii="Sakkal Majalla" w:eastAsia="Times New Roman" w:hAnsi="Sakkal Majalla" w:cs="Sakkal Majalla"/>
          <w:color w:val="000000"/>
          <w:sz w:val="28"/>
          <w:szCs w:val="28"/>
          <w:rtl/>
          <w:lang w:bidi="ar-YE"/>
        </w:rPr>
      </w:pPr>
    </w:p>
    <w:p w:rsidR="00E52F0F" w:rsidRPr="00E74E34" w:rsidRDefault="00E52F0F" w:rsidP="00F22878">
      <w:pPr>
        <w:bidi/>
        <w:spacing w:before="240" w:after="0" w:line="360" w:lineRule="auto"/>
        <w:jc w:val="both"/>
        <w:rPr>
          <w:rFonts w:ascii="Sakkal Majalla" w:eastAsia="Times New Roman" w:hAnsi="Sakkal Majalla" w:cs="Sakkal Majalla"/>
          <w:color w:val="000000"/>
          <w:sz w:val="28"/>
          <w:szCs w:val="28"/>
          <w:rtl/>
          <w:lang w:val="en-ID"/>
        </w:rPr>
      </w:pPr>
      <w:r w:rsidRPr="00E74E34">
        <w:rPr>
          <w:rFonts w:ascii="Sakkal Majalla" w:eastAsia="Times New Roman" w:hAnsi="Sakkal Majalla" w:cs="Sakkal Majalla" w:hint="cs"/>
          <w:color w:val="000000"/>
          <w:sz w:val="28"/>
          <w:szCs w:val="28"/>
          <w:rtl/>
          <w:lang w:bidi="ar-EG"/>
        </w:rPr>
        <w:t>الذين يرون أن بعض الفتاوى فيها نوع من التساهل وبعضها مجانبة للصواب بل نقل بعضهم أن بعض الفتاوى تخالف الإجماع،</w:t>
      </w:r>
      <w:r w:rsidR="00A11E42">
        <w:rPr>
          <w:rStyle w:val="EndnoteReference"/>
          <w:rFonts w:ascii="Sakkal Majalla" w:eastAsia="Times New Roman" w:hAnsi="Sakkal Majalla" w:cs="Sakkal Majalla"/>
          <w:color w:val="000000"/>
          <w:sz w:val="28"/>
          <w:szCs w:val="28"/>
          <w:rtl/>
          <w:lang w:bidi="ar-EG"/>
        </w:rPr>
        <w:endnoteReference w:id="6"/>
      </w:r>
      <w:r w:rsidRPr="00E74E34">
        <w:rPr>
          <w:rFonts w:ascii="Sakkal Majalla" w:eastAsia="Times New Roman" w:hAnsi="Sakkal Majalla" w:cs="Sakkal Majalla" w:hint="cs"/>
          <w:color w:val="000000"/>
          <w:sz w:val="28"/>
          <w:szCs w:val="28"/>
          <w:rtl/>
          <w:lang w:bidi="ar-EG"/>
        </w:rPr>
        <w:t xml:space="preserve"> ثم </w:t>
      </w:r>
      <w:r w:rsidRPr="00E74E34">
        <w:rPr>
          <w:rFonts w:ascii="Sakkal Majalla" w:eastAsia="Times New Roman" w:hAnsi="Sakkal Majalla" w:cs="Sakkal Majalla" w:hint="cs"/>
          <w:color w:val="000000"/>
          <w:sz w:val="28"/>
          <w:szCs w:val="28"/>
          <w:rtl/>
        </w:rPr>
        <w:t xml:space="preserve">في كثير من فتاواها </w:t>
      </w:r>
      <w:r w:rsidRPr="00E74E34">
        <w:rPr>
          <w:rFonts w:ascii="Sakkal Majalla" w:eastAsia="Times New Roman" w:hAnsi="Sakkal Majalla" w:cs="Sakkal Majalla" w:hint="cs"/>
          <w:color w:val="000000"/>
          <w:sz w:val="28"/>
          <w:szCs w:val="28"/>
          <w:rtl/>
          <w:lang w:bidi="ar-EG"/>
        </w:rPr>
        <w:t>يستدلون بالمصلحة.</w:t>
      </w:r>
      <w:r w:rsidRPr="00E74E34">
        <w:rPr>
          <w:rFonts w:ascii="Sakkal Majalla" w:eastAsia="Times New Roman" w:hAnsi="Sakkal Majalla" w:cs="Sakkal Majalla" w:hint="cs"/>
          <w:color w:val="000000"/>
          <w:sz w:val="28"/>
          <w:szCs w:val="28"/>
          <w:rtl/>
          <w:lang w:val="en-ID"/>
        </w:rPr>
        <w:t xml:space="preserve">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rPr>
      </w:pPr>
      <w:r w:rsidRPr="00E74E34">
        <w:rPr>
          <w:rFonts w:ascii="Sakkal Majalla" w:eastAsia="Times New Roman" w:hAnsi="Sakkal Majalla" w:cs="Sakkal Majalla" w:hint="cs"/>
          <w:color w:val="000000"/>
          <w:sz w:val="28"/>
          <w:szCs w:val="28"/>
          <w:rtl/>
          <w:lang w:val="en-ID"/>
        </w:rPr>
        <w:t>ولعل من الأسباب التي تقود إلى ظهور تلك الانتقادات عدم التصور التام والفهم الصحيح في أهمية اعتبار المصلحة واستدلالها في صناعة الفتوى. وأنه مما لا شك فيه أن المصلحة ضابط من ضوابط طرق الاجتهاد.</w:t>
      </w:r>
      <w:r w:rsidR="00A11E42">
        <w:rPr>
          <w:rStyle w:val="EndnoteReference"/>
          <w:rFonts w:ascii="Sakkal Majalla" w:eastAsia="Times New Roman" w:hAnsi="Sakkal Majalla" w:cs="Sakkal Majalla"/>
          <w:color w:val="000000"/>
          <w:sz w:val="28"/>
          <w:szCs w:val="28"/>
          <w:rtl/>
          <w:lang w:val="en-ID"/>
        </w:rPr>
        <w:endnoteReference w:id="7"/>
      </w:r>
      <w:r w:rsidRPr="00E74E34">
        <w:rPr>
          <w:rFonts w:ascii="Sakkal Majalla" w:eastAsia="Times New Roman" w:hAnsi="Sakkal Majalla" w:cs="Sakkal Majalla" w:hint="cs"/>
          <w:color w:val="000000"/>
          <w:sz w:val="28"/>
          <w:szCs w:val="28"/>
          <w:rtl/>
          <w:lang w:val="en-ID"/>
        </w:rPr>
        <w:t xml:space="preserve"> </w:t>
      </w:r>
      <w:r w:rsidRPr="00E74E34">
        <w:rPr>
          <w:rFonts w:ascii="Sakkal Majalla" w:eastAsia="Times New Roman" w:hAnsi="Sakkal Majalla" w:cs="Sakkal Majalla" w:hint="cs"/>
          <w:color w:val="000000"/>
          <w:sz w:val="28"/>
          <w:szCs w:val="28"/>
          <w:rtl/>
          <w:lang w:bidi="ar-EG"/>
        </w:rPr>
        <w:t>ثم أنها أوسع الطرق وأكثرها اعتبارا بها حيث بهذا</w:t>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الاتساع فيها قد يغزي أهل الأهواء بالدخول عن طريقها إلى تحقيق رغباتهم مستدلين بتحقيق المصلحة،</w:t>
      </w:r>
      <w:r w:rsidR="00A11E42">
        <w:rPr>
          <w:rStyle w:val="EndnoteReference"/>
          <w:rFonts w:ascii="Sakkal Majalla" w:eastAsia="Times New Roman" w:hAnsi="Sakkal Majalla" w:cs="Sakkal Majalla"/>
          <w:color w:val="000000"/>
          <w:sz w:val="28"/>
          <w:szCs w:val="28"/>
          <w:rtl/>
          <w:lang w:bidi="ar-EG"/>
        </w:rPr>
        <w:endnoteReference w:id="8"/>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لذلك، فإن المعايير والمبادئ التوجيهية للم</w:t>
      </w:r>
      <w:r w:rsidRPr="00E74E34">
        <w:rPr>
          <w:rFonts w:ascii="Sakkal Majalla" w:eastAsia="Times New Roman" w:hAnsi="Sakkal Majalla" w:cs="Sakkal Majalla" w:hint="cs"/>
          <w:color w:val="000000"/>
          <w:sz w:val="28"/>
          <w:szCs w:val="28"/>
          <w:rtl/>
        </w:rPr>
        <w:t>صلحة</w:t>
      </w:r>
      <w:r w:rsidRPr="00E74E34">
        <w:rPr>
          <w:rFonts w:ascii="Sakkal Majalla" w:eastAsia="Times New Roman" w:hAnsi="Sakkal Majalla" w:cs="Sakkal Majalla" w:hint="cs"/>
          <w:color w:val="000000"/>
          <w:sz w:val="28"/>
          <w:szCs w:val="28"/>
          <w:rtl/>
          <w:lang w:bidi="ar-EG"/>
        </w:rPr>
        <w:t xml:space="preserve"> تعود إلى الشريعة،</w:t>
      </w:r>
      <w:r w:rsidR="00A11E42">
        <w:rPr>
          <w:rFonts w:ascii="Sakkal Majalla" w:eastAsia="Times New Roman" w:hAnsi="Sakkal Majalla" w:cs="Sakkal Majalla"/>
          <w:color w:val="000000"/>
          <w:sz w:val="28"/>
          <w:szCs w:val="28"/>
          <w:lang w:val="en-US" w:bidi="ar-EG"/>
        </w:rPr>
        <w:t xml:space="preserve"> </w:t>
      </w:r>
      <w:r w:rsidR="00A11E42">
        <w:rPr>
          <w:rStyle w:val="EndnoteReference"/>
          <w:rFonts w:ascii="Sakkal Majalla" w:eastAsia="Times New Roman" w:hAnsi="Sakkal Majalla" w:cs="Sakkal Majalla"/>
          <w:color w:val="000000"/>
          <w:sz w:val="28"/>
          <w:szCs w:val="28"/>
          <w:lang w:val="en-US" w:bidi="ar-EG"/>
        </w:rPr>
        <w:endnoteReference w:id="9"/>
      </w:r>
      <w:r w:rsidRPr="00E74E34">
        <w:rPr>
          <w:rFonts w:ascii="Sakkal Majalla" w:eastAsia="Times New Roman" w:hAnsi="Sakkal Majalla" w:cs="Sakkal Majalla" w:hint="cs"/>
          <w:color w:val="000000"/>
          <w:sz w:val="28"/>
          <w:szCs w:val="28"/>
          <w:rtl/>
          <w:lang w:bidi="ar-EG"/>
        </w:rPr>
        <w:t>أو ما يراه الإسلام ولا مايراه الناس،</w:t>
      </w:r>
      <w:r w:rsidR="00A11E42">
        <w:rPr>
          <w:rStyle w:val="EndnoteReference"/>
          <w:rFonts w:ascii="Sakkal Majalla" w:eastAsia="Times New Roman" w:hAnsi="Sakkal Majalla" w:cs="Sakkal Majalla"/>
          <w:color w:val="000000"/>
          <w:sz w:val="28"/>
          <w:szCs w:val="28"/>
          <w:rtl/>
          <w:lang w:bidi="ar-EG"/>
        </w:rPr>
        <w:endnoteReference w:id="10"/>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color w:val="000000"/>
          <w:sz w:val="28"/>
          <w:szCs w:val="28"/>
          <w:rtl/>
        </w:rPr>
        <w:t>ثم ظهرت القاعدة "حيثما يكون الشرع تكون المصلحة".</w:t>
      </w:r>
      <w:r w:rsidR="00A11E42">
        <w:rPr>
          <w:rStyle w:val="EndnoteReference"/>
          <w:rFonts w:ascii="Sakkal Majalla" w:eastAsia="Times New Roman" w:hAnsi="Sakkal Majalla" w:cs="Sakkal Majalla"/>
          <w:color w:val="000000"/>
          <w:sz w:val="28"/>
          <w:szCs w:val="28"/>
          <w:rtl/>
        </w:rPr>
        <w:endnoteReference w:id="11"/>
      </w:r>
    </w:p>
    <w:p w:rsidR="00E52F0F" w:rsidRPr="00E74E34" w:rsidRDefault="00E52F0F" w:rsidP="0056049F">
      <w:pPr>
        <w:bidi/>
        <w:spacing w:before="240" w:after="0" w:line="360" w:lineRule="auto"/>
        <w:ind w:firstLine="720"/>
        <w:jc w:val="both"/>
        <w:rPr>
          <w:rFonts w:ascii="Sakkal Majalla" w:hAnsi="Sakkal Majalla" w:cs="Sakkal Majalla"/>
          <w:color w:val="000000"/>
          <w:sz w:val="28"/>
          <w:szCs w:val="28"/>
          <w:rtl/>
        </w:rPr>
      </w:pPr>
      <w:r w:rsidRPr="00E74E34">
        <w:rPr>
          <w:rFonts w:ascii="Sakkal Majalla" w:eastAsia="Times New Roman" w:hAnsi="Sakkal Majalla" w:cs="Sakkal Majalla" w:hint="cs"/>
          <w:color w:val="000000"/>
          <w:sz w:val="28"/>
          <w:szCs w:val="28"/>
          <w:rtl/>
        </w:rPr>
        <w:t>و</w:t>
      </w:r>
      <w:r w:rsidRPr="00E74E34">
        <w:rPr>
          <w:rFonts w:ascii="Sakkal Majalla" w:eastAsia="Times New Roman" w:hAnsi="Sakkal Majalla" w:cs="Sakkal Majalla" w:hint="cs"/>
          <w:color w:val="000000"/>
          <w:sz w:val="28"/>
          <w:szCs w:val="28"/>
          <w:rtl/>
          <w:lang w:bidi="ar-EG"/>
        </w:rPr>
        <w:t xml:space="preserve">هذا الأمر مما يجذب اهتمام الباحثة لأن تبحث عن منهجية الهيئة الشرعية الوطنية </w:t>
      </w:r>
      <w:r w:rsidRPr="00E74E34">
        <w:rPr>
          <w:rFonts w:ascii="Sakkal Majalla" w:eastAsia="Times New Roman" w:hAnsi="Sakkal Majalla" w:cs="Sakkal Majalla" w:hint="cs"/>
          <w:color w:val="000000"/>
          <w:sz w:val="28"/>
          <w:szCs w:val="28"/>
          <w:rtl/>
        </w:rPr>
        <w:t xml:space="preserve">في </w:t>
      </w:r>
      <w:r w:rsidRPr="00E74E34">
        <w:rPr>
          <w:rFonts w:ascii="Sakkal Majalla" w:eastAsia="Times New Roman" w:hAnsi="Sakkal Majalla" w:cs="Sakkal Majalla" w:hint="cs"/>
          <w:color w:val="000000"/>
          <w:sz w:val="28"/>
          <w:szCs w:val="28"/>
          <w:rtl/>
          <w:lang w:bidi="ar-EG"/>
        </w:rPr>
        <w:t xml:space="preserve">تطبيق المصلحة في فتاواها وبالخصوص فيما يتعلق عن تطبيق قاعدة أينما وجدت المصلحة فثم حكم الله. </w:t>
      </w:r>
      <w:r w:rsidRPr="00E74E34">
        <w:rPr>
          <w:rFonts w:ascii="Sakkal Majalla" w:eastAsia="Times New Roman" w:hAnsi="Sakkal Majalla" w:cs="Sakkal Majalla" w:hint="cs"/>
          <w:color w:val="000000"/>
          <w:sz w:val="28"/>
          <w:szCs w:val="28"/>
          <w:rtl/>
          <w:lang w:bidi="ar-EG"/>
        </w:rPr>
        <w:lastRenderedPageBreak/>
        <w:t xml:space="preserve">وبذلك تتمثل مشكلة البحث في </w:t>
      </w:r>
      <w:r w:rsidRPr="00E74E34">
        <w:rPr>
          <w:rFonts w:ascii="Sakkal Majalla" w:eastAsia="Times New Roman" w:hAnsi="Sakkal Majalla" w:cs="Sakkal Majalla" w:hint="cs"/>
          <w:color w:val="000000"/>
          <w:sz w:val="28"/>
          <w:szCs w:val="28"/>
          <w:rtl/>
          <w:lang w:val="en-ID"/>
        </w:rPr>
        <w:t xml:space="preserve">ما هي مكانة القاعدة "أينما وجدت المصلحة فثم حكم الله" لدى الهيئة الشرعية الوطنية لمجلس العلماء الإندونيسي؟ وكيف منهج الهيئة الشرعية الوطنية في تطبيق القاعدة في فتاواها؟ ثم أنّ </w:t>
      </w:r>
      <w:r w:rsidRPr="00E74E34">
        <w:rPr>
          <w:rFonts w:ascii="Sakkal Majalla" w:eastAsia="Times New Roman" w:hAnsi="Sakkal Majalla" w:cs="Sakkal Majalla" w:hint="cs"/>
          <w:color w:val="000000"/>
          <w:sz w:val="28"/>
          <w:szCs w:val="28"/>
          <w:rtl/>
          <w:lang w:bidi="ar-EG"/>
        </w:rPr>
        <w:t xml:space="preserve">هذا البحث يعتمد على المنهج الوصفي التحليلي بطريقة تحليل المحتوي أو ما يسمى بـ </w:t>
      </w:r>
      <w:r w:rsidRPr="00E74E34">
        <w:rPr>
          <w:rFonts w:ascii="Sakkal Majalla" w:eastAsia="Times New Roman" w:hAnsi="Sakkal Majalla" w:cs="Sakkal Majalla" w:hint="cs"/>
          <w:i/>
          <w:iCs/>
          <w:color w:val="000000"/>
          <w:sz w:val="28"/>
          <w:szCs w:val="28"/>
          <w:lang w:bidi="ar-EG"/>
        </w:rPr>
        <w:t>(content analysis)</w:t>
      </w:r>
      <w:r w:rsidRPr="00E74E34">
        <w:rPr>
          <w:rFonts w:ascii="Sakkal Majalla" w:eastAsia="Times New Roman" w:hAnsi="Sakkal Majalla" w:cs="Sakkal Majalla" w:hint="cs"/>
          <w:color w:val="000000"/>
          <w:sz w:val="28"/>
          <w:szCs w:val="28"/>
          <w:rtl/>
          <w:lang w:bidi="ar-EG"/>
        </w:rPr>
        <w:t>،حيث قامت الباحثة بتحليل البيانات المتمثلة في عدة الفتاوى الاقتصادية المعاصرة لهيئة الشرعية الوطنية لمجلس العلماء الإندونيسي استنادا إلى تأثير قاعدة المصلحة وتطبيقاتها فيها</w:t>
      </w:r>
      <w:r w:rsidRPr="00E74E34">
        <w:rPr>
          <w:rFonts w:ascii="Sakkal Majalla" w:hAnsi="Sakkal Majalla" w:cs="Sakkal Majalla" w:hint="cs"/>
          <w:color w:val="000000"/>
          <w:sz w:val="28"/>
          <w:szCs w:val="28"/>
          <w:rtl/>
        </w:rPr>
        <w:t xml:space="preserve">. حيث تتناول الباحثة دراسة بحثها من خلال جمع البيانات واستقراءها من المراجع المكتبية والمجلات العلمية المحكمة. ثم عرض تلك البيانات بطريقة علمية وصولا إلى النتائج العلمية.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hAnsi="Sakkal Majalla" w:cs="Sakkal Majalla" w:hint="cs"/>
          <w:sz w:val="28"/>
          <w:szCs w:val="28"/>
          <w:rtl/>
        </w:rPr>
        <w:t>وأما عن الدراسات السابقة تجاه هذا الموضوع فيمكن الاطّلاع إلى الدراسة بعنوان (</w:t>
      </w:r>
      <w:r w:rsidRPr="00E74E34">
        <w:rPr>
          <w:rFonts w:ascii="Sakkal Majalla" w:eastAsia="Times New Roman" w:hAnsi="Sakkal Majalla" w:cs="Sakkal Majalla" w:hint="cs"/>
          <w:b/>
          <w:bCs/>
          <w:color w:val="000000"/>
          <w:sz w:val="28"/>
          <w:szCs w:val="28"/>
          <w:rtl/>
          <w:lang w:bidi="ar-EG"/>
        </w:rPr>
        <w:t xml:space="preserve">دور الهيئة الشرعية الوطنية في الرقابة الشرعية على المصارف الإسلامية في أندونيسيا ومنهجها في الفتوى: دراسة وصفية تحليلية نقدية) </w:t>
      </w:r>
      <w:r w:rsidRPr="00E74E34">
        <w:rPr>
          <w:rFonts w:ascii="Sakkal Majalla" w:eastAsia="Times New Roman" w:hAnsi="Sakkal Majalla" w:cs="Sakkal Majalla" w:hint="cs"/>
          <w:color w:val="000000"/>
          <w:sz w:val="28"/>
          <w:szCs w:val="28"/>
          <w:rtl/>
          <w:lang w:bidi="ar-EG"/>
        </w:rPr>
        <w:t>حيث توصّلت الدراسة إلى أن الهيئة لها منهجيتها في إصدار الفتاوى حيث قامت بدورها في تطوير صناعات المعاملة المالية الإسلامية وكذلك في الرقابة وفي الوعي والتوجيه للمجتمع حول المعاملات بالاقتصاد الإسلامي</w:t>
      </w:r>
      <w:r w:rsidRPr="00E74E34">
        <w:rPr>
          <w:rFonts w:ascii="Sakkal Majalla" w:hAnsi="Sakkal Majalla" w:cs="Sakkal Majalla" w:hint="cs"/>
          <w:sz w:val="28"/>
          <w:szCs w:val="28"/>
          <w:rtl/>
        </w:rPr>
        <w:t>.</w:t>
      </w:r>
      <w:r w:rsidR="0069630E">
        <w:rPr>
          <w:rStyle w:val="EndnoteReference"/>
          <w:rFonts w:ascii="Sakkal Majalla" w:hAnsi="Sakkal Majalla" w:cs="Sakkal Majalla"/>
          <w:sz w:val="28"/>
          <w:szCs w:val="28"/>
          <w:rtl/>
        </w:rPr>
        <w:endnoteReference w:id="12"/>
      </w:r>
      <w:r w:rsidRPr="00E74E34">
        <w:rPr>
          <w:rFonts w:ascii="Sakkal Majalla" w:hAnsi="Sakkal Majalla" w:cs="Sakkal Majalla" w:hint="cs"/>
          <w:sz w:val="28"/>
          <w:szCs w:val="28"/>
          <w:rtl/>
        </w:rPr>
        <w:t xml:space="preserve"> ثم الدراسة بعنوان </w:t>
      </w:r>
      <w:r w:rsidRPr="00E74E34">
        <w:rPr>
          <w:rFonts w:ascii="Sakkal Majalla" w:hAnsi="Sakkal Majalla" w:cs="Sakkal Majalla" w:hint="cs"/>
          <w:i/>
          <w:iCs/>
          <w:sz w:val="28"/>
          <w:szCs w:val="28"/>
        </w:rPr>
        <w:lastRenderedPageBreak/>
        <w:t>(Maslahat sebagai metode ijtihad dan tujuan utama hukum islam)</w:t>
      </w:r>
      <w:r w:rsidRPr="00E74E34">
        <w:rPr>
          <w:rFonts w:ascii="Sakkal Majalla" w:hAnsi="Sakkal Majalla" w:cs="Sakkal Majalla" w:hint="cs"/>
          <w:sz w:val="28"/>
          <w:szCs w:val="28"/>
          <w:rtl/>
        </w:rPr>
        <w:t xml:space="preserve"> (</w:t>
      </w:r>
      <w:r w:rsidRPr="00E74E34">
        <w:rPr>
          <w:rFonts w:ascii="Sakkal Majalla" w:eastAsia="Times New Roman" w:hAnsi="Sakkal Majalla" w:cs="Sakkal Majalla" w:hint="cs"/>
          <w:b/>
          <w:bCs/>
          <w:color w:val="000000"/>
          <w:sz w:val="28"/>
          <w:szCs w:val="28"/>
          <w:rtl/>
          <w:lang w:bidi="ar-EG"/>
        </w:rPr>
        <w:t>المصلحة كطرق الاجتهاد والمقصد الأساسي في القانون الإسلامي</w:t>
      </w:r>
      <w:r w:rsidRPr="00E74E34">
        <w:rPr>
          <w:rFonts w:ascii="Sakkal Majalla" w:hAnsi="Sakkal Majalla" w:cs="Sakkal Majalla" w:hint="cs"/>
          <w:sz w:val="28"/>
          <w:szCs w:val="28"/>
          <w:rtl/>
        </w:rPr>
        <w:t xml:space="preserve"> ) حيث </w:t>
      </w:r>
      <w:r w:rsidRPr="00E74E34">
        <w:rPr>
          <w:rFonts w:ascii="Sakkal Majalla" w:eastAsia="Times New Roman" w:hAnsi="Sakkal Majalla" w:cs="Sakkal Majalla" w:hint="cs"/>
          <w:color w:val="000000"/>
          <w:sz w:val="28"/>
          <w:szCs w:val="28"/>
          <w:rtl/>
          <w:lang w:bidi="ar-EG"/>
        </w:rPr>
        <w:t>تحدثت الدراسة عن مفهوم المصلحة وأشكالها وتوافقها مع  مقاصد الشريعة الإسلامية في استنباط الأحكام الاجتهادية.</w:t>
      </w:r>
      <w:r w:rsidR="0069630E">
        <w:rPr>
          <w:rStyle w:val="EndnoteReference"/>
          <w:rFonts w:ascii="Sakkal Majalla" w:eastAsia="Times New Roman" w:hAnsi="Sakkal Majalla" w:cs="Sakkal Majalla"/>
          <w:color w:val="000000"/>
          <w:sz w:val="28"/>
          <w:szCs w:val="28"/>
          <w:rtl/>
          <w:lang w:bidi="ar-EG"/>
        </w:rPr>
        <w:endnoteReference w:id="13"/>
      </w:r>
      <w:r w:rsidRPr="00E74E34">
        <w:rPr>
          <w:rFonts w:ascii="Sakkal Majalla" w:eastAsia="Times New Roman" w:hAnsi="Sakkal Majalla" w:cs="Sakkal Majalla" w:hint="cs"/>
          <w:color w:val="000000"/>
          <w:sz w:val="28"/>
          <w:szCs w:val="28"/>
          <w:rtl/>
          <w:lang w:bidi="ar-EG"/>
        </w:rPr>
        <w:t xml:space="preserve"> وقريب من هذه الدراسة مقالة بعنوان </w:t>
      </w:r>
      <w:r w:rsidRPr="00E74E34">
        <w:rPr>
          <w:rFonts w:ascii="Sakkal Majalla" w:eastAsia="Times New Roman" w:hAnsi="Sakkal Majalla" w:cs="Sakkal Majalla" w:hint="cs"/>
          <w:i/>
          <w:iCs/>
          <w:color w:val="000000"/>
          <w:sz w:val="28"/>
          <w:szCs w:val="28"/>
          <w:lang w:bidi="ar-EG"/>
        </w:rPr>
        <w:t>(Konsep maslahat dan mafsadat menurut Imam Al Ghazali)</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lang w:bidi="ar-EG"/>
        </w:rPr>
        <w:t>مفهوم المصلحة والمفسدة عند الإمام الغزالي)</w:t>
      </w:r>
      <w:r w:rsidRPr="00E74E34">
        <w:rPr>
          <w:rFonts w:ascii="Sakkal Majalla" w:hAnsi="Sakkal Majalla" w:cs="Sakkal Majalla" w:hint="cs"/>
          <w:sz w:val="28"/>
          <w:szCs w:val="28"/>
          <w:rtl/>
        </w:rPr>
        <w:t xml:space="preserve"> حيث توصلت المقالة إلى أهمية المصلحة والمفسدة وعلاقتهما في مجال الاجتهاد بهما وأ</w:t>
      </w:r>
      <w:r w:rsidRPr="00E74E34">
        <w:rPr>
          <w:rFonts w:ascii="Sakkal Majalla" w:eastAsia="Times New Roman" w:hAnsi="Sakkal Majalla" w:cs="Sakkal Majalla" w:hint="cs"/>
          <w:color w:val="000000"/>
          <w:sz w:val="28"/>
          <w:szCs w:val="28"/>
          <w:rtl/>
          <w:lang w:bidi="ar-EG"/>
        </w:rPr>
        <w:t>ن الجمع بينهما سيؤدي إلى تحقيق المصال</w:t>
      </w:r>
      <w:r w:rsidR="0069630E">
        <w:rPr>
          <w:rFonts w:ascii="Sakkal Majalla" w:eastAsia="Times New Roman" w:hAnsi="Sakkal Majalla" w:cs="Sakkal Majalla" w:hint="cs"/>
          <w:color w:val="000000"/>
          <w:sz w:val="28"/>
          <w:szCs w:val="28"/>
          <w:rtl/>
          <w:lang w:bidi="ar-EG"/>
        </w:rPr>
        <w:t>ح الحقيقية وتحقيق مقاصد الشريعة</w:t>
      </w:r>
      <w:r w:rsidR="0069630E">
        <w:rPr>
          <w:rFonts w:ascii="Sakkal Majalla" w:eastAsia="Times New Roman" w:hAnsi="Sakkal Majalla" w:cs="Sakkal Majalla" w:hint="cs"/>
          <w:color w:val="000000"/>
          <w:sz w:val="28"/>
          <w:szCs w:val="28"/>
          <w:rtl/>
        </w:rPr>
        <w:t>.</w:t>
      </w:r>
      <w:r w:rsidR="0069630E">
        <w:rPr>
          <w:rStyle w:val="EndnoteReference"/>
          <w:rFonts w:ascii="Sakkal Majalla" w:eastAsia="Times New Roman" w:hAnsi="Sakkal Majalla" w:cs="Sakkal Majalla"/>
          <w:color w:val="000000"/>
          <w:sz w:val="28"/>
          <w:szCs w:val="28"/>
          <w:rtl/>
        </w:rPr>
        <w:endnoteReference w:id="14"/>
      </w:r>
      <w:r w:rsidR="0069630E">
        <w:rPr>
          <w:rFonts w:ascii="Sakkal Majalla" w:eastAsia="Times New Roman" w:hAnsi="Sakkal Majalla" w:cs="Sakkal Majalla"/>
          <w:color w:val="000000"/>
          <w:sz w:val="28"/>
          <w:szCs w:val="28"/>
          <w:lang w:val="en-US" w:bidi="ar-EG"/>
        </w:rPr>
        <w:t xml:space="preserve"> </w:t>
      </w:r>
      <w:r w:rsidRPr="00E74E34">
        <w:rPr>
          <w:rFonts w:ascii="Sakkal Majalla" w:eastAsia="Times New Roman" w:hAnsi="Sakkal Majalla" w:cs="Sakkal Majalla" w:hint="cs"/>
          <w:color w:val="000000"/>
          <w:sz w:val="28"/>
          <w:szCs w:val="28"/>
          <w:rtl/>
        </w:rPr>
        <w:t>والأخير الرسالة بعنوان (</w:t>
      </w:r>
      <w:r w:rsidRPr="00E74E34">
        <w:rPr>
          <w:rFonts w:ascii="Sakkal Majalla" w:eastAsia="Times New Roman" w:hAnsi="Sakkal Majalla" w:cs="Sakkal Majalla" w:hint="cs"/>
          <w:i/>
          <w:iCs/>
          <w:color w:val="000000"/>
          <w:sz w:val="28"/>
          <w:szCs w:val="28"/>
        </w:rPr>
        <w:t>Aplikasi Kaidah Hal Al-'‘brah Bi Siyaq al-Uqud Aw Bi Ma'’niha dalam Fatwa Dewan Syariah Nasional (DSN) Majelis Ulama Indonesia)</w:t>
      </w:r>
      <w:r w:rsidRPr="00E74E34">
        <w:rPr>
          <w:rFonts w:ascii="Sakkal Majalla" w:eastAsia="Times New Roman" w:hAnsi="Sakkal Majalla" w:cs="Sakkal Majalla" w:hint="cs"/>
          <w:color w:val="000000"/>
          <w:sz w:val="28"/>
          <w:szCs w:val="28"/>
        </w:rPr>
        <w:t xml:space="preserve"> </w:t>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b/>
          <w:bCs/>
          <w:color w:val="000000"/>
          <w:sz w:val="28"/>
          <w:szCs w:val="28"/>
          <w:rtl/>
          <w:lang w:bidi="ar-EG"/>
        </w:rPr>
        <w:t>تطبيق قاعدة العبرة بصيغ العقود أو بمعانيها في فتاوى الهيئة الشرعية الوطنية لمجلس العلماء الأندونيسي،</w:t>
      </w:r>
      <w:r w:rsidRPr="00E74E34">
        <w:rPr>
          <w:rFonts w:ascii="Sakkal Majalla" w:eastAsia="Times New Roman" w:hAnsi="Sakkal Majalla" w:cs="Sakkal Majalla" w:hint="cs"/>
          <w:color w:val="000000"/>
          <w:sz w:val="28"/>
          <w:szCs w:val="28"/>
          <w:rtl/>
          <w:lang w:bidi="ar-EG"/>
        </w:rPr>
        <w:t xml:space="preserve"> وقد توصلت على أن تطبيق القاعدة في فتاوى الهيئة الشرعية الوطنية لمجلس العلماء الأندونيسي يؤخذ من المذهبين وأن الهيئة تطبق القاعدة في اثنتا عشر فتوى.</w:t>
      </w:r>
      <w:r w:rsidR="0069630E">
        <w:rPr>
          <w:rStyle w:val="EndnoteReference"/>
          <w:rFonts w:ascii="Sakkal Majalla" w:eastAsia="Times New Roman" w:hAnsi="Sakkal Majalla" w:cs="Sakkal Majalla"/>
          <w:color w:val="000000"/>
          <w:sz w:val="28"/>
          <w:szCs w:val="28"/>
          <w:rtl/>
          <w:lang w:bidi="ar-EG"/>
        </w:rPr>
        <w:endnoteReference w:id="15"/>
      </w:r>
      <w:r w:rsidRPr="00E74E34">
        <w:rPr>
          <w:rFonts w:ascii="Sakkal Majalla" w:eastAsia="Times New Roman" w:hAnsi="Sakkal Majalla" w:cs="Sakkal Majalla" w:hint="cs"/>
          <w:color w:val="000000"/>
          <w:sz w:val="28"/>
          <w:szCs w:val="28"/>
          <w:rtl/>
        </w:rPr>
        <w:t xml:space="preserve"> </w:t>
      </w:r>
    </w:p>
    <w:p w:rsidR="00E27849" w:rsidRPr="00E27849" w:rsidRDefault="00E27849" w:rsidP="00E27849">
      <w:pPr>
        <w:bidi/>
        <w:spacing w:before="240" w:after="0" w:line="360" w:lineRule="auto"/>
        <w:ind w:firstLine="720"/>
        <w:jc w:val="both"/>
        <w:rPr>
          <w:rFonts w:ascii="Sakkal Majalla" w:eastAsia="Times New Roman" w:hAnsi="Sakkal Majalla" w:cs="Sakkal Majalla"/>
          <w:color w:val="000000"/>
          <w:sz w:val="28"/>
          <w:szCs w:val="28"/>
          <w:rtl/>
          <w:lang w:bidi="ar-EG"/>
        </w:rPr>
      </w:pPr>
      <w:r w:rsidRPr="00E27849">
        <w:rPr>
          <w:rFonts w:ascii="Sakkal Majalla" w:eastAsia="Times New Roman" w:hAnsi="Sakkal Majalla" w:cs="Sakkal Majalla" w:hint="cs"/>
          <w:color w:val="000000"/>
          <w:sz w:val="28"/>
          <w:szCs w:val="28"/>
          <w:rtl/>
          <w:lang w:bidi="ar-EG"/>
        </w:rPr>
        <w:t xml:space="preserve">ومن هذا المنطلق </w:t>
      </w:r>
      <w:r w:rsidRPr="00E27849">
        <w:rPr>
          <w:rFonts w:ascii="Sakkal Majalla" w:eastAsia="Times New Roman" w:hAnsi="Sakkal Majalla" w:cs="Sakkal Majalla" w:hint="cs"/>
          <w:color w:val="000000"/>
          <w:sz w:val="28"/>
          <w:szCs w:val="28"/>
          <w:rtl/>
        </w:rPr>
        <w:t xml:space="preserve">تهدف هذه الدراسة إلى معرفة مكانة القاعدة أينما وجدت المصلحة فثم حكم </w:t>
      </w:r>
      <w:r w:rsidRPr="00E27849">
        <w:rPr>
          <w:rFonts w:ascii="Sakkal Majalla" w:eastAsia="Times New Roman" w:hAnsi="Sakkal Majalla" w:cs="Sakkal Majalla" w:hint="cs"/>
          <w:color w:val="000000"/>
          <w:sz w:val="28"/>
          <w:szCs w:val="28"/>
          <w:rtl/>
        </w:rPr>
        <w:lastRenderedPageBreak/>
        <w:t>الله لدى الهيئة الشرعية الوطنية لمجلس العلماء الإندونيسي وكذلك معرفة إعمال منهجها عندها في تطبيق هذه القاعدة في عدة فتاواها المتعلقة بمسائل الاقتصادية المعاصرة.</w:t>
      </w:r>
      <w:r w:rsidRPr="00E27849">
        <w:rPr>
          <w:rFonts w:ascii="Sakkal Majalla" w:eastAsia="Times New Roman" w:hAnsi="Sakkal Majalla" w:cs="Sakkal Majalla"/>
          <w:color w:val="000000"/>
          <w:sz w:val="28"/>
          <w:szCs w:val="28"/>
          <w:lang w:bidi="ar-EG"/>
        </w:rPr>
        <w:t xml:space="preserve"> </w:t>
      </w:r>
      <w:r w:rsidRPr="00E27849">
        <w:rPr>
          <w:rFonts w:ascii="Sakkal Majalla" w:eastAsia="Times New Roman" w:hAnsi="Sakkal Majalla" w:cs="Sakkal Majalla" w:hint="cs"/>
          <w:color w:val="000000"/>
          <w:sz w:val="28"/>
          <w:szCs w:val="28"/>
          <w:rtl/>
        </w:rPr>
        <w:t xml:space="preserve">وأنّ </w:t>
      </w:r>
      <w:r w:rsidRPr="00E27849">
        <w:rPr>
          <w:rFonts w:ascii="Sakkal Majalla" w:eastAsia="Times New Roman" w:hAnsi="Sakkal Majalla" w:cs="Sakkal Majalla" w:hint="cs"/>
          <w:color w:val="000000"/>
          <w:sz w:val="28"/>
          <w:szCs w:val="28"/>
          <w:rtl/>
          <w:lang w:bidi="ar-EG"/>
        </w:rPr>
        <w:t xml:space="preserve">هذا البحث يعتمد على المنهج الوصفي التحليلي بطريقة تحليل المحتوي أو ما يسمى بـ </w:t>
      </w:r>
      <w:r w:rsidRPr="00E27849">
        <w:rPr>
          <w:rFonts w:ascii="Sakkal Majalla" w:eastAsia="Times New Roman" w:hAnsi="Sakkal Majalla" w:cs="Sakkal Majalla" w:hint="cs"/>
          <w:i/>
          <w:iCs/>
          <w:color w:val="000000"/>
          <w:sz w:val="28"/>
          <w:szCs w:val="28"/>
          <w:lang w:bidi="ar-EG"/>
        </w:rPr>
        <w:t>(content analysis)</w:t>
      </w:r>
      <w:r w:rsidRPr="00E27849">
        <w:rPr>
          <w:rFonts w:ascii="Sakkal Majalla" w:eastAsia="Times New Roman" w:hAnsi="Sakkal Majalla" w:cs="Sakkal Majalla" w:hint="cs"/>
          <w:color w:val="000000"/>
          <w:sz w:val="28"/>
          <w:szCs w:val="28"/>
          <w:rtl/>
          <w:lang w:bidi="ar-EG"/>
        </w:rPr>
        <w:t>،</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lang w:bidi="ar-EG"/>
        </w:rPr>
      </w:pPr>
      <w:r w:rsidRPr="00E74E34">
        <w:rPr>
          <w:rFonts w:ascii="Sakkal Majalla" w:eastAsia="Times New Roman" w:hAnsi="Sakkal Majalla" w:cs="Sakkal Majalla" w:hint="cs"/>
          <w:color w:val="000000"/>
          <w:sz w:val="28"/>
          <w:szCs w:val="28"/>
          <w:rtl/>
          <w:lang w:bidi="ar-EG"/>
        </w:rPr>
        <w:t xml:space="preserve">ومن هذا المنطلق </w:t>
      </w:r>
      <w:r w:rsidRPr="00E74E34">
        <w:rPr>
          <w:rFonts w:ascii="Sakkal Majalla" w:hAnsi="Sakkal Majalla" w:cs="Sakkal Majalla" w:hint="cs"/>
          <w:sz w:val="28"/>
          <w:szCs w:val="28"/>
          <w:rtl/>
        </w:rPr>
        <w:t>تهدف هذه الدراسة إلى معرفة مكانة القاعدة أينما وجدت المصلحة فثم حكم الله لدى الهيئة الشرعية الوطنية لمجلس العلماء الإندونيسي وكذلك معرفة إعمال منهجها عندها في تطبيق هذه القاعدة في عدة فتاواها المتعلقة بمسائل الاقتصادية المعاصرة.</w:t>
      </w:r>
    </w:p>
    <w:p w:rsidR="009F6DED" w:rsidRPr="00B274B3" w:rsidRDefault="00E52F0F" w:rsidP="0056049F">
      <w:pPr>
        <w:bidi/>
        <w:spacing w:before="240" w:after="0" w:line="360" w:lineRule="auto"/>
        <w:jc w:val="both"/>
        <w:rPr>
          <w:rFonts w:ascii="Sakkal Majalla" w:eastAsia="Times New Roman" w:hAnsi="Sakkal Majalla" w:cs="Sakkal Majalla"/>
          <w:b/>
          <w:bCs/>
          <w:color w:val="000000"/>
          <w:sz w:val="28"/>
          <w:szCs w:val="28"/>
        </w:rPr>
      </w:pPr>
      <w:r w:rsidRPr="00B274B3">
        <w:rPr>
          <w:rFonts w:ascii="Sakkal Majalla" w:eastAsia="Times New Roman" w:hAnsi="Sakkal Majalla" w:cs="Sakkal Majalla" w:hint="cs"/>
          <w:b/>
          <w:bCs/>
          <w:color w:val="000000"/>
          <w:sz w:val="28"/>
          <w:szCs w:val="28"/>
          <w:rtl/>
          <w:lang w:bidi="ar-EG"/>
        </w:rPr>
        <w:t>المباحث والنتيجة</w:t>
      </w:r>
      <w:r w:rsidR="009F6DED">
        <w:rPr>
          <w:rFonts w:ascii="Sakkal Majalla" w:eastAsia="Times New Roman" w:hAnsi="Sakkal Majalla" w:cs="Sakkal Majalla" w:hint="cs"/>
          <w:b/>
          <w:bCs/>
          <w:color w:val="000000"/>
          <w:sz w:val="28"/>
          <w:szCs w:val="28"/>
          <w:rtl/>
          <w:lang w:bidi="ar-EG"/>
        </w:rPr>
        <w:t xml:space="preserve"> </w:t>
      </w:r>
      <w:r w:rsidR="009F6DED" w:rsidRPr="00B274B3">
        <w:rPr>
          <w:rFonts w:ascii="Sakkal Majalla" w:eastAsia="Times New Roman" w:hAnsi="Sakkal Majalla" w:cs="Sakkal Majalla" w:hint="cs"/>
          <w:b/>
          <w:bCs/>
          <w:color w:val="000000"/>
          <w:sz w:val="28"/>
          <w:szCs w:val="28"/>
          <w:rtl/>
        </w:rPr>
        <w:t>مفهوم المصلحة</w:t>
      </w:r>
    </w:p>
    <w:p w:rsidR="00E52F0F" w:rsidRPr="00E74E34" w:rsidRDefault="00E52F0F" w:rsidP="0056049F">
      <w:pPr>
        <w:tabs>
          <w:tab w:val="right" w:pos="841"/>
          <w:tab w:val="right" w:pos="918"/>
        </w:tabs>
        <w:bidi/>
        <w:spacing w:before="240" w:after="0" w:line="360" w:lineRule="auto"/>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lang w:bidi="ar-EG"/>
        </w:rPr>
        <w:tab/>
      </w:r>
      <w:r w:rsidRPr="00E74E34">
        <w:rPr>
          <w:rFonts w:ascii="Sakkal Majalla" w:eastAsia="Times New Roman" w:hAnsi="Sakkal Majalla" w:cs="Sakkal Majalla" w:hint="cs"/>
          <w:color w:val="000000"/>
          <w:sz w:val="28"/>
          <w:szCs w:val="28"/>
          <w:lang w:bidi="ar-EG"/>
        </w:rPr>
        <w:tab/>
      </w:r>
      <w:r w:rsidRPr="00E74E34">
        <w:rPr>
          <w:rFonts w:ascii="Sakkal Majalla" w:eastAsia="Times New Roman" w:hAnsi="Sakkal Majalla" w:cs="Sakkal Majalla" w:hint="cs"/>
          <w:color w:val="000000"/>
          <w:sz w:val="28"/>
          <w:szCs w:val="28"/>
          <w:rtl/>
          <w:lang w:bidi="ar-EG"/>
        </w:rPr>
        <w:t>كلمة المصلحة من حيث اللغة مأخوذة من الصلاح، وهو نقيض الفساد، وهي الخير والمنفعة والصواب.</w:t>
      </w:r>
      <w:r w:rsidR="00173DB4">
        <w:rPr>
          <w:rStyle w:val="EndnoteReference"/>
          <w:rFonts w:ascii="Sakkal Majalla" w:eastAsia="Times New Roman" w:hAnsi="Sakkal Majalla" w:cs="Sakkal Majalla"/>
          <w:color w:val="000000"/>
          <w:sz w:val="28"/>
          <w:szCs w:val="28"/>
          <w:rtl/>
          <w:lang w:bidi="ar-EG"/>
        </w:rPr>
        <w:endnoteReference w:id="16"/>
      </w:r>
      <w:r w:rsidRPr="00E74E34">
        <w:rPr>
          <w:rFonts w:ascii="Sakkal Majalla" w:eastAsia="Times New Roman" w:hAnsi="Sakkal Majalla" w:cs="Sakkal Majalla" w:hint="cs"/>
          <w:color w:val="000000"/>
          <w:sz w:val="28"/>
          <w:szCs w:val="28"/>
          <w:rtl/>
          <w:lang w:bidi="ar-EG"/>
        </w:rPr>
        <w:t xml:space="preserve"> ومن الاصطلاح فقد عرفها كثير من العلماء، منهم: عرفها الإمام الغزالي بأن المصلحة هي المحافظة على مقصود الشرع، وقال ومقصود الشرع من الخلق خمسة: وهو أن يحفظ عليهم دينهم ونفسهم وعقلهم ومالهم، فكل ما يشتمل عل حفظ هذه الأصول الخمسة فهو مصلحة وكل ما يفوت هذه الأصول فهو مفسدة، ودفعها مصلحة.</w:t>
      </w:r>
      <w:r w:rsidR="00173DB4">
        <w:rPr>
          <w:rStyle w:val="EndnoteReference"/>
          <w:rFonts w:ascii="Sakkal Majalla" w:eastAsia="Times New Roman" w:hAnsi="Sakkal Majalla" w:cs="Sakkal Majalla"/>
          <w:color w:val="000000"/>
          <w:sz w:val="28"/>
          <w:szCs w:val="28"/>
          <w:rtl/>
          <w:lang w:bidi="ar-EG"/>
        </w:rPr>
        <w:endnoteReference w:id="17"/>
      </w:r>
      <w:r w:rsidRPr="00E74E34">
        <w:rPr>
          <w:rFonts w:ascii="Sakkal Majalla" w:eastAsia="Times New Roman" w:hAnsi="Sakkal Majalla" w:cs="Sakkal Majalla" w:hint="cs"/>
          <w:color w:val="000000"/>
          <w:sz w:val="28"/>
          <w:szCs w:val="28"/>
          <w:rtl/>
          <w:lang w:bidi="ar-EG"/>
        </w:rPr>
        <w:t xml:space="preserve"> وعند ابن تيمية أن </w:t>
      </w:r>
      <w:r w:rsidRPr="00E74E34">
        <w:rPr>
          <w:rFonts w:ascii="Sakkal Majalla" w:eastAsia="Times New Roman" w:hAnsi="Sakkal Majalla" w:cs="Sakkal Majalla" w:hint="cs"/>
          <w:color w:val="000000"/>
          <w:sz w:val="28"/>
          <w:szCs w:val="28"/>
          <w:rtl/>
          <w:lang w:bidi="ar-EG"/>
        </w:rPr>
        <w:lastRenderedPageBreak/>
        <w:t>المصلحة هي مايرى المجتهد أن هذا الفعل يجلب منفعة راجحة؛ وليس في الشرع ما ينفيه.</w:t>
      </w:r>
      <w:r w:rsidR="00173DB4">
        <w:rPr>
          <w:rStyle w:val="EndnoteReference"/>
          <w:rFonts w:ascii="Sakkal Majalla" w:eastAsia="Times New Roman" w:hAnsi="Sakkal Majalla" w:cs="Sakkal Majalla"/>
          <w:color w:val="000000"/>
          <w:sz w:val="28"/>
          <w:szCs w:val="28"/>
          <w:rtl/>
          <w:lang w:bidi="ar-EG"/>
        </w:rPr>
        <w:endnoteReference w:id="18"/>
      </w:r>
      <w:r w:rsidRPr="00E74E34">
        <w:rPr>
          <w:rFonts w:ascii="Sakkal Majalla" w:eastAsia="Times New Roman" w:hAnsi="Sakkal Majalla" w:cs="Sakkal Majalla" w:hint="cs"/>
          <w:color w:val="000000"/>
          <w:sz w:val="28"/>
          <w:szCs w:val="28"/>
          <w:rtl/>
          <w:lang w:bidi="ar-EG"/>
        </w:rPr>
        <w:t xml:space="preserve"> ومنهم من قال أنها جلب المنفعة ودفع المضرة</w:t>
      </w:r>
      <w:r w:rsidRPr="00E74E34">
        <w:rPr>
          <w:rFonts w:ascii="Sakkal Majalla" w:eastAsia="Times New Roman" w:hAnsi="Sakkal Majalla" w:cs="Sakkal Majalla" w:hint="cs"/>
          <w:color w:val="000000"/>
          <w:sz w:val="28"/>
          <w:szCs w:val="28"/>
          <w:rtl/>
        </w:rPr>
        <w:t>.</w:t>
      </w:r>
      <w:r w:rsidR="00173DB4">
        <w:rPr>
          <w:rStyle w:val="EndnoteReference"/>
          <w:rFonts w:ascii="Sakkal Majalla" w:eastAsia="Times New Roman" w:hAnsi="Sakkal Majalla" w:cs="Sakkal Majalla"/>
          <w:color w:val="000000"/>
          <w:sz w:val="28"/>
          <w:szCs w:val="28"/>
          <w:rtl/>
        </w:rPr>
        <w:endnoteReference w:id="19"/>
      </w:r>
    </w:p>
    <w:p w:rsidR="00E52F0F" w:rsidRPr="00E74E34" w:rsidRDefault="00E52F0F" w:rsidP="0056049F">
      <w:pPr>
        <w:bidi/>
        <w:spacing w:before="240" w:after="0" w:line="360" w:lineRule="auto"/>
        <w:jc w:val="both"/>
        <w:rPr>
          <w:rFonts w:ascii="Sakkal Majalla" w:eastAsia="Times New Roman" w:hAnsi="Sakkal Majalla" w:cs="Sakkal Majalla"/>
          <w:b/>
          <w:bCs/>
          <w:color w:val="000000"/>
          <w:sz w:val="28"/>
          <w:szCs w:val="28"/>
        </w:rPr>
      </w:pPr>
      <w:r w:rsidRPr="00E74E34">
        <w:rPr>
          <w:rFonts w:ascii="Sakkal Majalla" w:eastAsia="Times New Roman" w:hAnsi="Sakkal Majalla" w:cs="Sakkal Majalla" w:hint="cs"/>
          <w:b/>
          <w:bCs/>
          <w:color w:val="000000"/>
          <w:sz w:val="28"/>
          <w:szCs w:val="28"/>
          <w:rtl/>
        </w:rPr>
        <w:t xml:space="preserve">أقسام المصلحة </w:t>
      </w:r>
    </w:p>
    <w:p w:rsidR="00E52F0F" w:rsidRPr="00E74E34" w:rsidRDefault="00E52F0F" w:rsidP="0056049F">
      <w:pPr>
        <w:bidi/>
        <w:spacing w:before="240" w:after="0" w:line="360" w:lineRule="auto"/>
        <w:ind w:left="-45" w:firstLine="720"/>
        <w:jc w:val="both"/>
        <w:rPr>
          <w:rFonts w:ascii="Sakkal Majalla" w:eastAsia="Times New Roman" w:hAnsi="Sakkal Majalla" w:cs="Sakkal Majalla"/>
          <w:color w:val="000000"/>
          <w:sz w:val="28"/>
          <w:szCs w:val="28"/>
          <w:rtl/>
        </w:rPr>
      </w:pPr>
      <w:r w:rsidRPr="00E74E34">
        <w:rPr>
          <w:rFonts w:ascii="Sakkal Majalla" w:eastAsia="Times New Roman" w:hAnsi="Sakkal Majalla" w:cs="Sakkal Majalla" w:hint="cs"/>
          <w:color w:val="000000"/>
          <w:sz w:val="28"/>
          <w:szCs w:val="28"/>
          <w:rtl/>
        </w:rPr>
        <w:t>تنقسم المصلحة أقساما عدة باعتبارات مختلفة، ولهذا التقسيم تأثير في الموازنة بينها، وترجيح بعضها على بعض في حالة التعارض،</w:t>
      </w:r>
      <w:r w:rsidR="00173DB4">
        <w:rPr>
          <w:rStyle w:val="EndnoteReference"/>
          <w:rFonts w:ascii="Sakkal Majalla" w:eastAsia="Times New Roman" w:hAnsi="Sakkal Majalla" w:cs="Sakkal Majalla"/>
          <w:color w:val="000000"/>
          <w:sz w:val="28"/>
          <w:szCs w:val="28"/>
          <w:rtl/>
        </w:rPr>
        <w:endnoteReference w:id="20"/>
      </w:r>
      <w:r w:rsidRPr="00E74E34">
        <w:rPr>
          <w:rFonts w:ascii="Sakkal Majalla" w:eastAsia="Times New Roman" w:hAnsi="Sakkal Majalla" w:cs="Sakkal Majalla" w:hint="cs"/>
          <w:color w:val="000000"/>
          <w:sz w:val="28"/>
          <w:szCs w:val="28"/>
          <w:rtl/>
        </w:rPr>
        <w:t xml:space="preserve"> وهذه الأقسام كما يلي: </w:t>
      </w:r>
    </w:p>
    <w:p w:rsidR="00E52F0F" w:rsidRPr="00E74E34" w:rsidRDefault="00E52F0F" w:rsidP="0056049F">
      <w:pPr>
        <w:bidi/>
        <w:spacing w:before="240" w:after="0" w:line="360" w:lineRule="auto"/>
        <w:jc w:val="both"/>
        <w:rPr>
          <w:rFonts w:ascii="Sakkal Majalla" w:eastAsia="Times New Roman" w:hAnsi="Sakkal Majalla" w:cs="Sakkal Majalla"/>
          <w:b/>
          <w:bCs/>
          <w:color w:val="000000"/>
          <w:sz w:val="28"/>
          <w:szCs w:val="28"/>
          <w:rtl/>
        </w:rPr>
      </w:pPr>
      <w:r w:rsidRPr="00E74E34">
        <w:rPr>
          <w:rFonts w:ascii="Sakkal Majalla" w:eastAsia="Times New Roman" w:hAnsi="Sakkal Majalla" w:cs="Sakkal Majalla" w:hint="cs"/>
          <w:b/>
          <w:bCs/>
          <w:color w:val="000000"/>
          <w:sz w:val="28"/>
          <w:szCs w:val="28"/>
          <w:rtl/>
        </w:rPr>
        <w:t xml:space="preserve">الأول: تقسيم المصلحة من حيث اعتبار الشارع لها: </w:t>
      </w:r>
    </w:p>
    <w:p w:rsidR="00E52F0F" w:rsidRPr="00E74E34" w:rsidRDefault="00E52F0F" w:rsidP="0056049F">
      <w:pPr>
        <w:bidi/>
        <w:spacing w:before="240" w:after="0" w:line="360" w:lineRule="auto"/>
        <w:jc w:val="both"/>
        <w:rPr>
          <w:rFonts w:ascii="Sakkal Majalla" w:eastAsia="Times New Roman" w:hAnsi="Sakkal Majalla" w:cs="Sakkal Majalla"/>
          <w:color w:val="000000"/>
          <w:sz w:val="28"/>
          <w:szCs w:val="28"/>
          <w:rtl/>
        </w:rPr>
      </w:pPr>
      <w:r w:rsidRPr="00E74E34">
        <w:rPr>
          <w:rFonts w:ascii="Sakkal Majalla" w:eastAsia="Times New Roman" w:hAnsi="Sakkal Majalla" w:cs="Sakkal Majalla" w:hint="cs"/>
          <w:color w:val="000000"/>
          <w:sz w:val="28"/>
          <w:szCs w:val="28"/>
          <w:rtl/>
        </w:rPr>
        <w:t>المصلحة من حيث اعتبار الشارع لها ينقسم إلى:</w:t>
      </w:r>
      <w:r w:rsidRPr="00E74E34">
        <w:rPr>
          <w:rFonts w:ascii="Sakkal Majalla" w:eastAsia="Times New Roman" w:hAnsi="Sakkal Majalla" w:cs="Sakkal Majalla" w:hint="cs"/>
          <w:b/>
          <w:bCs/>
          <w:color w:val="000000"/>
          <w:sz w:val="28"/>
          <w:szCs w:val="28"/>
          <w:rtl/>
        </w:rPr>
        <w:t>أولا:</w:t>
      </w:r>
      <w:r w:rsidRPr="00E74E34">
        <w:rPr>
          <w:rFonts w:ascii="Sakkal Majalla" w:eastAsia="Times New Roman" w:hAnsi="Sakkal Majalla" w:cs="Sakkal Majalla" w:hint="cs"/>
          <w:color w:val="000000"/>
          <w:sz w:val="28"/>
          <w:szCs w:val="28"/>
          <w:rtl/>
        </w:rPr>
        <w:t xml:space="preserve"> المصلحة المعتبرة وهي المصلحة التي شهد الشارع بإعتبارها؛ كمصلحة الجهاد، ومصلحة قطع يد السارق، ومصلحة النظر إلى المخطوبة وغيرها.</w:t>
      </w:r>
      <w:r w:rsidR="0026174B">
        <w:rPr>
          <w:rStyle w:val="EndnoteReference"/>
          <w:rFonts w:ascii="Sakkal Majalla" w:eastAsia="Times New Roman" w:hAnsi="Sakkal Majalla" w:cs="Sakkal Majalla"/>
          <w:color w:val="000000"/>
          <w:sz w:val="28"/>
          <w:szCs w:val="28"/>
          <w:rtl/>
        </w:rPr>
        <w:endnoteReference w:id="21"/>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b/>
          <w:bCs/>
          <w:color w:val="000000"/>
          <w:sz w:val="28"/>
          <w:szCs w:val="28"/>
          <w:rtl/>
        </w:rPr>
        <w:t>ثانيا:</w:t>
      </w:r>
      <w:r w:rsidRPr="00E74E34">
        <w:rPr>
          <w:rFonts w:ascii="Sakkal Majalla" w:eastAsia="Times New Roman" w:hAnsi="Sakkal Majalla" w:cs="Sakkal Majalla" w:hint="cs"/>
          <w:color w:val="000000"/>
          <w:sz w:val="28"/>
          <w:szCs w:val="28"/>
          <w:rtl/>
        </w:rPr>
        <w:t xml:space="preserve"> المصلحة الملغاة وهي المصلحة التي شهد لها الشرع بالبطلان؛</w:t>
      </w:r>
      <w:r w:rsidR="000D5021">
        <w:rPr>
          <w:rStyle w:val="EndnoteReference"/>
          <w:rFonts w:ascii="Sakkal Majalla" w:eastAsia="Times New Roman" w:hAnsi="Sakkal Majalla" w:cs="Sakkal Majalla"/>
          <w:color w:val="000000"/>
          <w:sz w:val="28"/>
          <w:szCs w:val="28"/>
          <w:rtl/>
        </w:rPr>
        <w:endnoteReference w:id="22"/>
      </w:r>
      <w:r w:rsidRPr="00E74E34">
        <w:rPr>
          <w:rFonts w:ascii="Sakkal Majalla" w:eastAsia="Times New Roman" w:hAnsi="Sakkal Majalla" w:cs="Sakkal Majalla" w:hint="cs"/>
          <w:color w:val="000000"/>
          <w:sz w:val="28"/>
          <w:szCs w:val="28"/>
          <w:rtl/>
        </w:rPr>
        <w:t xml:space="preserve"> مثل مصلحة المرابي في زيادة ماله، فقد ألغاه الشارع، قال الله تعالى: </w:t>
      </w:r>
      <w:r w:rsidRPr="00E74E34">
        <w:rPr>
          <w:rFonts w:ascii="Sakkal Majalla" w:eastAsia="Times New Roman" w:hAnsi="Sakkal Majalla" w:cs="Sakkal Majalla" w:hint="cs"/>
          <w:color w:val="000000"/>
          <w:sz w:val="28"/>
          <w:szCs w:val="28"/>
          <w:rtl/>
          <w:lang w:bidi="ar-EG"/>
        </w:rPr>
        <w:t>﴿</w:t>
      </w:r>
      <w:r w:rsidRPr="00E74E34">
        <w:rPr>
          <w:rFonts w:ascii="Sakkal Majalla" w:hAnsi="Sakkal Majalla" w:cs="Sakkal Majalla" w:hint="cs"/>
          <w:color w:val="000000"/>
          <w:sz w:val="28"/>
          <w:szCs w:val="28"/>
          <w:rtl/>
        </w:rPr>
        <w:t>وَأَحَلَّ اللَّهُ الْبَيْعَ وَحَرَّمَ الرِّبَا</w:t>
      </w:r>
      <w:r w:rsidRPr="00E74E34">
        <w:rPr>
          <w:rFonts w:ascii="Sakkal Majalla" w:eastAsia="Times New Roman" w:hAnsi="Sakkal Majalla" w:cs="Sakkal Majalla" w:hint="cs"/>
          <w:color w:val="000000"/>
          <w:sz w:val="28"/>
          <w:szCs w:val="28"/>
          <w:rtl/>
          <w:lang w:bidi="ar-EG"/>
        </w:rPr>
        <w:t>﴾</w:t>
      </w:r>
      <w:r w:rsidR="000D5021">
        <w:rPr>
          <w:rStyle w:val="EndnoteReference"/>
          <w:rFonts w:ascii="Sakkal Majalla" w:eastAsia="Times New Roman" w:hAnsi="Sakkal Majalla" w:cs="Sakkal Majalla"/>
          <w:color w:val="000000"/>
          <w:sz w:val="28"/>
          <w:szCs w:val="28"/>
          <w:rtl/>
          <w:lang w:bidi="ar-EG"/>
        </w:rPr>
        <w:endnoteReference w:id="23"/>
      </w:r>
      <w:r w:rsidRPr="00E74E34">
        <w:rPr>
          <w:rFonts w:ascii="Sakkal Majalla" w:eastAsia="Times New Roman" w:hAnsi="Sakkal Majalla" w:cs="Sakkal Majalla" w:hint="cs"/>
          <w:color w:val="000000"/>
          <w:sz w:val="28"/>
          <w:szCs w:val="28"/>
          <w:rtl/>
        </w:rPr>
        <w:t xml:space="preserve"> وكذلك المصلحة الموجودة في الخمر والميس</w:t>
      </w:r>
      <w:r w:rsidRPr="00E74E34">
        <w:rPr>
          <w:rFonts w:ascii="Sakkal Majalla" w:eastAsia="Times New Roman" w:hAnsi="Sakkal Majalla" w:cs="Sakkal Majalla" w:hint="cs"/>
          <w:color w:val="000000"/>
          <w:sz w:val="28"/>
          <w:szCs w:val="28"/>
          <w:rtl/>
          <w:lang w:bidi="ar-EG"/>
        </w:rPr>
        <w:t>،</w:t>
      </w:r>
      <w:r w:rsidRPr="00E74E34">
        <w:rPr>
          <w:rFonts w:ascii="Sakkal Majalla" w:eastAsia="Times New Roman" w:hAnsi="Sakkal Majalla" w:cs="Sakkal Majalla" w:hint="cs"/>
          <w:color w:val="000000"/>
          <w:sz w:val="28"/>
          <w:szCs w:val="28"/>
          <w:rtl/>
        </w:rPr>
        <w:t xml:space="preserve"> قال تعالى: </w:t>
      </w:r>
      <w:r w:rsidRPr="00E74E34">
        <w:rPr>
          <w:rFonts w:ascii="Sakkal Majalla" w:eastAsia="Times New Roman" w:hAnsi="Sakkal Majalla" w:cs="Sakkal Majalla" w:hint="cs"/>
          <w:color w:val="000000"/>
          <w:sz w:val="28"/>
          <w:szCs w:val="28"/>
          <w:rtl/>
          <w:lang w:bidi="ar-EG"/>
        </w:rPr>
        <w:t>﴿</w:t>
      </w:r>
      <w:r w:rsidRPr="00E74E34">
        <w:rPr>
          <w:rFonts w:ascii="Sakkal Majalla" w:hAnsi="Sakkal Majalla" w:cs="Sakkal Majalla" w:hint="cs"/>
          <w:color w:val="000000"/>
          <w:sz w:val="28"/>
          <w:szCs w:val="28"/>
          <w:rtl/>
        </w:rPr>
        <w:t>يَسْأَلُونَكَ عَنْ الْخَمْرِ وَالْمَيْسِرِ قُلْ فِيهِمَا إِثْمٌ كَبِيرٌ وَمَنَافِعُ لِلنَّاسِ وَإِثْمُهُمَا أَكْبَرُ مِنْ نَفْعِهِمَا</w:t>
      </w:r>
      <w:r w:rsidRPr="00E74E34">
        <w:rPr>
          <w:rFonts w:ascii="Sakkal Majalla" w:eastAsia="Times New Roman" w:hAnsi="Sakkal Majalla" w:cs="Sakkal Majalla" w:hint="cs"/>
          <w:color w:val="000000"/>
          <w:sz w:val="28"/>
          <w:szCs w:val="28"/>
          <w:rtl/>
          <w:lang w:bidi="ar-EG"/>
        </w:rPr>
        <w:t>﴾</w:t>
      </w:r>
      <w:r w:rsidRPr="00E74E34">
        <w:rPr>
          <w:rFonts w:ascii="Sakkal Majalla" w:eastAsia="Times New Roman" w:hAnsi="Sakkal Majalla" w:cs="Sakkal Majalla" w:hint="cs"/>
          <w:color w:val="000000"/>
          <w:sz w:val="28"/>
          <w:szCs w:val="28"/>
          <w:rtl/>
        </w:rPr>
        <w:t>.</w:t>
      </w:r>
      <w:r w:rsidR="000D5021">
        <w:rPr>
          <w:rStyle w:val="EndnoteReference"/>
          <w:rFonts w:ascii="Sakkal Majalla" w:eastAsia="Times New Roman" w:hAnsi="Sakkal Majalla" w:cs="Sakkal Majalla"/>
          <w:color w:val="000000"/>
          <w:sz w:val="28"/>
          <w:szCs w:val="28"/>
          <w:rtl/>
        </w:rPr>
        <w:endnoteReference w:id="24"/>
      </w:r>
      <w:r w:rsidRPr="00E74E34">
        <w:rPr>
          <w:rFonts w:ascii="Sakkal Majalla" w:hAnsi="Sakkal Majalla" w:cs="Sakkal Majalla" w:hint="cs"/>
          <w:color w:val="000000"/>
          <w:sz w:val="28"/>
          <w:szCs w:val="28"/>
        </w:rPr>
        <w:t xml:space="preserve"> </w:t>
      </w:r>
      <w:r w:rsidRPr="00E74E34">
        <w:rPr>
          <w:rFonts w:ascii="Sakkal Majalla" w:eastAsia="Times New Roman" w:hAnsi="Sakkal Majalla" w:cs="Sakkal Majalla" w:hint="cs"/>
          <w:b/>
          <w:bCs/>
          <w:color w:val="000000"/>
          <w:sz w:val="28"/>
          <w:szCs w:val="28"/>
          <w:rtl/>
        </w:rPr>
        <w:t>ثالثا:</w:t>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bidi="ar-EG"/>
        </w:rPr>
        <w:t>المصلحة المرسلة</w:t>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bidi="ar-EG"/>
        </w:rPr>
        <w:t>أي المصلحة التي لم يشهد الشارع بالاعتبار، ولا بإلغاء،</w:t>
      </w:r>
      <w:r w:rsidR="000D5021">
        <w:rPr>
          <w:rStyle w:val="EndnoteReference"/>
          <w:rFonts w:ascii="Sakkal Majalla" w:eastAsia="Times New Roman" w:hAnsi="Sakkal Majalla" w:cs="Sakkal Majalla"/>
          <w:color w:val="000000"/>
          <w:sz w:val="28"/>
          <w:szCs w:val="28"/>
          <w:rtl/>
          <w:lang w:bidi="ar-EG"/>
        </w:rPr>
        <w:endnoteReference w:id="25"/>
      </w:r>
      <w:r w:rsidRPr="00E74E34">
        <w:rPr>
          <w:rFonts w:ascii="Sakkal Majalla" w:eastAsia="Times New Roman" w:hAnsi="Sakkal Majalla" w:cs="Sakkal Majalla" w:hint="cs"/>
          <w:color w:val="000000"/>
          <w:sz w:val="28"/>
          <w:szCs w:val="28"/>
          <w:rtl/>
          <w:lang w:bidi="ar-EG"/>
        </w:rPr>
        <w:t xml:space="preserve"> ولكنها محققة لمقصود الشارع؛</w:t>
      </w:r>
      <w:r w:rsidR="002273F6">
        <w:rPr>
          <w:rStyle w:val="EndnoteReference"/>
          <w:rFonts w:ascii="Sakkal Majalla" w:eastAsia="Times New Roman" w:hAnsi="Sakkal Majalla" w:cs="Sakkal Majalla"/>
          <w:color w:val="000000"/>
          <w:sz w:val="28"/>
          <w:szCs w:val="28"/>
          <w:rtl/>
          <w:lang w:bidi="ar-EG"/>
        </w:rPr>
        <w:endnoteReference w:id="26"/>
      </w:r>
      <w:r w:rsidRPr="00E74E34">
        <w:rPr>
          <w:rFonts w:ascii="Sakkal Majalla" w:eastAsia="Times New Roman" w:hAnsi="Sakkal Majalla" w:cs="Sakkal Majalla" w:hint="cs"/>
          <w:color w:val="000000"/>
          <w:sz w:val="28"/>
          <w:szCs w:val="28"/>
          <w:rtl/>
          <w:lang w:bidi="ar-EG"/>
        </w:rPr>
        <w:t>مثل جمع القرآن في زمن الصحابة</w:t>
      </w:r>
      <w:r w:rsidR="002273F6">
        <w:rPr>
          <w:rStyle w:val="EndnoteReference"/>
          <w:rFonts w:ascii="Sakkal Majalla" w:eastAsia="Times New Roman" w:hAnsi="Sakkal Majalla" w:cs="Sakkal Majalla"/>
          <w:color w:val="000000"/>
          <w:sz w:val="28"/>
          <w:szCs w:val="28"/>
          <w:rtl/>
          <w:lang w:bidi="ar-EG"/>
        </w:rPr>
        <w:endnoteReference w:id="27"/>
      </w:r>
      <w:r w:rsidRPr="00E74E34">
        <w:rPr>
          <w:rFonts w:ascii="Sakkal Majalla" w:eastAsia="Times New Roman" w:hAnsi="Sakkal Majalla" w:cs="Sakkal Majalla" w:hint="cs"/>
          <w:color w:val="000000"/>
          <w:sz w:val="28"/>
          <w:szCs w:val="28"/>
          <w:rtl/>
          <w:lang w:bidi="ar-EG"/>
        </w:rPr>
        <w:t xml:space="preserve"> فهذه </w:t>
      </w:r>
      <w:r w:rsidRPr="00E74E34">
        <w:rPr>
          <w:rFonts w:ascii="Sakkal Majalla" w:eastAsia="Times New Roman" w:hAnsi="Sakkal Majalla" w:cs="Sakkal Majalla" w:hint="cs"/>
          <w:color w:val="000000"/>
          <w:sz w:val="28"/>
          <w:szCs w:val="28"/>
          <w:rtl/>
          <w:lang w:bidi="ar-EG"/>
        </w:rPr>
        <w:lastRenderedPageBreak/>
        <w:t>مصلحة لم يرد فيها نص على اعتبارها أو إلغائها، ولكنها محققة لمقصود الشارع لأن جمع القرآن حفظ للشريعة، وهي مقصودة للشارع.</w:t>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قال الشنقيطي المصلحة المرسلة هي ألا يشهد الشرع لاعتبار تلك المصلحة بدليل خاص، ولا لإلغائها بدليل خاص،</w:t>
      </w:r>
      <w:r w:rsidR="002273F6">
        <w:rPr>
          <w:rStyle w:val="EndnoteReference"/>
          <w:rFonts w:ascii="Sakkal Majalla" w:eastAsia="Times New Roman" w:hAnsi="Sakkal Majalla" w:cs="Sakkal Majalla"/>
          <w:color w:val="000000"/>
          <w:sz w:val="28"/>
          <w:szCs w:val="28"/>
          <w:rtl/>
          <w:lang w:bidi="ar-EG"/>
        </w:rPr>
        <w:endnoteReference w:id="28"/>
      </w:r>
      <w:r w:rsidRPr="00E74E34">
        <w:rPr>
          <w:rFonts w:ascii="Sakkal Majalla" w:eastAsia="Times New Roman" w:hAnsi="Sakkal Majalla" w:cs="Sakkal Majalla" w:hint="cs"/>
          <w:color w:val="000000"/>
          <w:sz w:val="28"/>
          <w:szCs w:val="28"/>
          <w:rtl/>
          <w:lang w:bidi="ar-EG"/>
        </w:rPr>
        <w:t xml:space="preserve"> يعني لا بد أن تستند المصلحة المرسلة إلى دليل اعتبره الشارع غير أنه لا دليل يتناولها بخصوصها.</w:t>
      </w:r>
      <w:r w:rsidR="002273F6">
        <w:rPr>
          <w:rStyle w:val="EndnoteReference"/>
          <w:rFonts w:ascii="Sakkal Majalla" w:eastAsia="Times New Roman" w:hAnsi="Sakkal Majalla" w:cs="Sakkal Majalla"/>
          <w:color w:val="000000"/>
          <w:sz w:val="28"/>
          <w:szCs w:val="28"/>
          <w:rtl/>
          <w:lang w:bidi="ar-EG"/>
        </w:rPr>
        <w:endnoteReference w:id="29"/>
      </w:r>
    </w:p>
    <w:p w:rsidR="00E52F0F" w:rsidRPr="00E74E34" w:rsidRDefault="00E52F0F" w:rsidP="0056049F">
      <w:pPr>
        <w:bidi/>
        <w:spacing w:before="240" w:after="0" w:line="360" w:lineRule="auto"/>
        <w:jc w:val="both"/>
        <w:rPr>
          <w:rFonts w:ascii="Sakkal Majalla" w:eastAsia="Times New Roman" w:hAnsi="Sakkal Majalla" w:cs="Sakkal Majalla"/>
          <w:color w:val="000000"/>
          <w:sz w:val="28"/>
          <w:szCs w:val="28"/>
          <w:rtl/>
          <w:lang w:bidi="ar-EG"/>
        </w:rPr>
      </w:pPr>
      <w:r w:rsidRPr="00E74E34">
        <w:rPr>
          <w:rFonts w:ascii="Sakkal Majalla" w:eastAsia="Times New Roman" w:hAnsi="Sakkal Majalla" w:cs="Sakkal Majalla" w:hint="cs"/>
          <w:b/>
          <w:bCs/>
          <w:color w:val="000000"/>
          <w:sz w:val="28"/>
          <w:szCs w:val="28"/>
          <w:rtl/>
          <w:lang w:bidi="ar-EG"/>
        </w:rPr>
        <w:t xml:space="preserve">الثاني: تقسيم المصلحة من حيث قوتها في ذاتها: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تكاليف الشريعة ترجع إلى حفظ مقاصدها في الخلق، وهذه المقاصد لا تعدو عن ثلاثة أقسام</w:t>
      </w:r>
      <w:r w:rsidRPr="00E74E34">
        <w:rPr>
          <w:rFonts w:ascii="Sakkal Majalla" w:eastAsia="Times New Roman" w:hAnsi="Sakkal Majalla" w:cs="Sakkal Majalla" w:hint="cs"/>
          <w:color w:val="000000"/>
          <w:sz w:val="28"/>
          <w:szCs w:val="28"/>
          <w:lang w:bidi="ar-EG"/>
        </w:rPr>
        <w:t>:</w:t>
      </w:r>
      <w:r w:rsidR="002273F6">
        <w:rPr>
          <w:rStyle w:val="EndnoteReference"/>
          <w:rFonts w:ascii="Sakkal Majalla" w:eastAsia="Times New Roman" w:hAnsi="Sakkal Majalla" w:cs="Sakkal Majalla"/>
          <w:color w:val="000000"/>
          <w:sz w:val="28"/>
          <w:szCs w:val="28"/>
          <w:lang w:bidi="ar-EG"/>
        </w:rPr>
        <w:endnoteReference w:id="30"/>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lang w:bidi="ar-EG"/>
        </w:rPr>
        <w:t>الأول:</w:t>
      </w:r>
      <w:r w:rsidRPr="00E74E34">
        <w:rPr>
          <w:rFonts w:ascii="Sakkal Majalla" w:eastAsia="Times New Roman" w:hAnsi="Sakkal Majalla" w:cs="Sakkal Majalla" w:hint="cs"/>
          <w:color w:val="000000"/>
          <w:sz w:val="28"/>
          <w:szCs w:val="28"/>
          <w:rtl/>
          <w:lang w:bidi="ar-EG"/>
        </w:rPr>
        <w:t xml:space="preserve"> المصلحة الضرورية، المصلحة في هذا المستوى هي مصلحة تتعلق باحتياجات الإنسان الأساسية في الدنيا والآخرة التي يجب تحقيقها، وهي الحفاظ على الدين والنفس والعقل والنسب والمال،</w:t>
      </w:r>
      <w:r w:rsidR="002273F6">
        <w:rPr>
          <w:rStyle w:val="EndnoteReference"/>
          <w:rFonts w:ascii="Sakkal Majalla" w:eastAsia="Times New Roman" w:hAnsi="Sakkal Majalla" w:cs="Sakkal Majalla"/>
          <w:color w:val="000000"/>
          <w:sz w:val="28"/>
          <w:szCs w:val="28"/>
          <w:rtl/>
          <w:lang w:bidi="ar-EG"/>
        </w:rPr>
        <w:endnoteReference w:id="31"/>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color w:val="000000"/>
          <w:sz w:val="28"/>
          <w:szCs w:val="28"/>
          <w:rtl/>
        </w:rPr>
        <w:t>أو ما يقال بالضروريات الخمسة،</w:t>
      </w:r>
      <w:r w:rsidR="002273F6">
        <w:rPr>
          <w:rStyle w:val="EndnoteReference"/>
          <w:rFonts w:ascii="Sakkal Majalla" w:eastAsia="Times New Roman" w:hAnsi="Sakkal Majalla" w:cs="Sakkal Majalla"/>
          <w:color w:val="000000"/>
          <w:sz w:val="28"/>
          <w:szCs w:val="28"/>
          <w:rtl/>
        </w:rPr>
        <w:endnoteReference w:id="32"/>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bidi="ar-EG"/>
        </w:rPr>
        <w:t xml:space="preserve">هذه المصلحة يسمى بـ </w:t>
      </w:r>
      <w:r w:rsidRPr="00E74E34">
        <w:rPr>
          <w:rFonts w:ascii="Sakkal Majalla" w:eastAsia="Times New Roman" w:hAnsi="Sakkal Majalla" w:cs="Sakkal Majalla" w:hint="cs"/>
          <w:i/>
          <w:iCs/>
          <w:color w:val="000000"/>
          <w:sz w:val="28"/>
          <w:szCs w:val="28"/>
          <w:lang w:bidi="ar-EG"/>
        </w:rPr>
        <w:t>(Kebutuhan Primer)</w:t>
      </w:r>
      <w:r w:rsidRPr="00E74E34">
        <w:rPr>
          <w:rFonts w:ascii="Sakkal Majalla" w:eastAsia="Times New Roman" w:hAnsi="Sakkal Majalla" w:cs="Sakkal Majalla" w:hint="cs"/>
          <w:i/>
          <w:iCs/>
          <w:color w:val="000000"/>
          <w:sz w:val="28"/>
          <w:szCs w:val="28"/>
          <w:rtl/>
          <w:lang w:bidi="ar-EG"/>
        </w:rPr>
        <w:t>.</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lang w:bidi="ar-EG"/>
        </w:rPr>
        <w:t>الثاني:</w:t>
      </w:r>
      <w:r w:rsidRPr="00E74E34">
        <w:rPr>
          <w:rFonts w:ascii="Sakkal Majalla" w:eastAsia="Times New Roman" w:hAnsi="Sakkal Majalla" w:cs="Sakkal Majalla" w:hint="cs"/>
          <w:color w:val="000000"/>
          <w:sz w:val="28"/>
          <w:szCs w:val="28"/>
          <w:rtl/>
          <w:lang w:bidi="ar-EG"/>
        </w:rPr>
        <w:t xml:space="preserve"> المصلحة الحاجية، وهي ما يحتاج إليها الأمة لاقتناء مصالحها، وانتظم أمورها على وجه حسن، بحيث لولا مراعاتهه لكانت في حالة غير منتظمة، ولكنها لم تصل إلى حد الضرورة،</w:t>
      </w:r>
      <w:r w:rsidR="0028722A">
        <w:rPr>
          <w:rStyle w:val="EndnoteReference"/>
          <w:rFonts w:ascii="Sakkal Majalla" w:eastAsia="Times New Roman" w:hAnsi="Sakkal Majalla" w:cs="Sakkal Majalla"/>
          <w:color w:val="000000"/>
          <w:sz w:val="28"/>
          <w:szCs w:val="28"/>
          <w:rtl/>
          <w:lang w:bidi="ar-EG"/>
        </w:rPr>
        <w:endnoteReference w:id="33"/>
      </w:r>
      <w:r w:rsidRPr="00E74E34">
        <w:rPr>
          <w:rFonts w:ascii="Sakkal Majalla" w:eastAsia="Times New Roman" w:hAnsi="Sakkal Majalla" w:cs="Sakkal Majalla" w:hint="cs"/>
          <w:color w:val="000000"/>
          <w:sz w:val="28"/>
          <w:szCs w:val="28"/>
          <w:rtl/>
          <w:lang w:bidi="ar-EG"/>
        </w:rPr>
        <w:t xml:space="preserve"> ويمثل لها بالبيوع والإجارات، والقرض وغيرها،</w:t>
      </w:r>
      <w:r w:rsidR="0028722A">
        <w:rPr>
          <w:rStyle w:val="EndnoteReference"/>
          <w:rFonts w:ascii="Sakkal Majalla" w:eastAsia="Times New Roman" w:hAnsi="Sakkal Majalla" w:cs="Sakkal Majalla"/>
          <w:color w:val="000000"/>
          <w:sz w:val="28"/>
          <w:szCs w:val="28"/>
          <w:rtl/>
          <w:lang w:bidi="ar-EG"/>
        </w:rPr>
        <w:endnoteReference w:id="34"/>
      </w:r>
      <w:r w:rsidRPr="00E74E34">
        <w:rPr>
          <w:rFonts w:ascii="Sakkal Majalla" w:eastAsia="Times New Roman" w:hAnsi="Sakkal Majalla" w:cs="Sakkal Majalla" w:hint="cs"/>
          <w:color w:val="000000"/>
          <w:sz w:val="28"/>
          <w:szCs w:val="28"/>
          <w:rtl/>
          <w:lang w:bidi="ar-EG"/>
        </w:rPr>
        <w:t xml:space="preserve"> ويسمى هذه المصلحة بـ </w:t>
      </w:r>
      <w:r w:rsidRPr="00E74E34">
        <w:rPr>
          <w:rFonts w:ascii="Sakkal Majalla" w:eastAsia="Times New Roman" w:hAnsi="Sakkal Majalla" w:cs="Sakkal Majalla" w:hint="cs"/>
          <w:color w:val="000000"/>
          <w:sz w:val="28"/>
          <w:szCs w:val="28"/>
          <w:lang w:bidi="ar-EG"/>
        </w:rPr>
        <w:t>(</w:t>
      </w:r>
      <w:r w:rsidRPr="00E74E34">
        <w:rPr>
          <w:rFonts w:ascii="Sakkal Majalla" w:eastAsia="Times New Roman" w:hAnsi="Sakkal Majalla" w:cs="Sakkal Majalla" w:hint="cs"/>
          <w:i/>
          <w:iCs/>
          <w:color w:val="000000"/>
          <w:sz w:val="28"/>
          <w:szCs w:val="28"/>
          <w:lang w:bidi="ar-EG"/>
        </w:rPr>
        <w:t>kebutuhan sekunder)</w:t>
      </w:r>
      <w:r w:rsidRPr="00E74E34">
        <w:rPr>
          <w:rFonts w:ascii="Sakkal Majalla" w:eastAsia="Times New Roman" w:hAnsi="Sakkal Majalla" w:cs="Sakkal Majalla" w:hint="cs"/>
          <w:color w:val="000000"/>
          <w:sz w:val="28"/>
          <w:szCs w:val="28"/>
          <w:rtl/>
          <w:lang w:bidi="ar-EG"/>
        </w:rPr>
        <w:t>. المصلحة التحسينية</w:t>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bidi="ar-EG"/>
        </w:rPr>
        <w:t xml:space="preserve">وهي المصلحة التي تكون من قبيل التحسين </w:t>
      </w:r>
      <w:r w:rsidRPr="00E74E34">
        <w:rPr>
          <w:rFonts w:ascii="Sakkal Majalla" w:eastAsia="Times New Roman" w:hAnsi="Sakkal Majalla" w:cs="Sakkal Majalla" w:hint="cs"/>
          <w:color w:val="000000"/>
          <w:sz w:val="28"/>
          <w:szCs w:val="28"/>
          <w:rtl/>
          <w:lang w:bidi="ar-EG"/>
        </w:rPr>
        <w:lastRenderedPageBreak/>
        <w:t>والتزيين والتيسير لحياة الناس.</w:t>
      </w:r>
      <w:r w:rsidR="0028722A">
        <w:rPr>
          <w:rStyle w:val="EndnoteReference"/>
          <w:rFonts w:ascii="Sakkal Majalla" w:eastAsia="Times New Roman" w:hAnsi="Sakkal Majalla" w:cs="Sakkal Majalla"/>
          <w:color w:val="000000"/>
          <w:sz w:val="28"/>
          <w:szCs w:val="28"/>
          <w:rtl/>
          <w:lang w:bidi="ar-EG"/>
        </w:rPr>
        <w:endnoteReference w:id="35"/>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هذه المصلحة يسمى بـ</w:t>
      </w:r>
      <w:r w:rsidRPr="00E74E34">
        <w:rPr>
          <w:rFonts w:ascii="Sakkal Majalla" w:eastAsia="Times New Roman" w:hAnsi="Sakkal Majalla" w:cs="Sakkal Majalla" w:hint="cs"/>
          <w:color w:val="000000"/>
          <w:sz w:val="28"/>
          <w:szCs w:val="28"/>
          <w:lang w:bidi="ar-EG"/>
        </w:rPr>
        <w:t>(</w:t>
      </w:r>
      <w:r w:rsidRPr="00E74E34">
        <w:rPr>
          <w:rFonts w:ascii="Sakkal Majalla" w:eastAsia="Times New Roman" w:hAnsi="Sakkal Majalla" w:cs="Sakkal Majalla" w:hint="cs"/>
          <w:i/>
          <w:iCs/>
          <w:color w:val="000000"/>
          <w:sz w:val="28"/>
          <w:szCs w:val="28"/>
          <w:lang w:bidi="ar-EG"/>
        </w:rPr>
        <w:t>kebutuhan tersier</w:t>
      </w:r>
      <w:r w:rsidRPr="00E74E34">
        <w:rPr>
          <w:rFonts w:ascii="Sakkal Majalla" w:eastAsia="Times New Roman" w:hAnsi="Sakkal Majalla" w:cs="Sakkal Majalla" w:hint="cs"/>
          <w:color w:val="000000"/>
          <w:sz w:val="28"/>
          <w:szCs w:val="28"/>
          <w:lang w:bidi="ar-EG"/>
        </w:rPr>
        <w:t>)</w:t>
      </w:r>
      <w:r w:rsidRPr="00E74E34">
        <w:rPr>
          <w:rFonts w:ascii="Sakkal Majalla" w:eastAsia="Times New Roman" w:hAnsi="Sakkal Majalla" w:cs="Sakkal Majalla" w:hint="cs"/>
          <w:color w:val="000000"/>
          <w:sz w:val="28"/>
          <w:szCs w:val="28"/>
          <w:rtl/>
          <w:lang w:bidi="ar-EG"/>
        </w:rPr>
        <w:t>.</w:t>
      </w:r>
    </w:p>
    <w:p w:rsidR="00E52F0F" w:rsidRPr="00E74E34" w:rsidRDefault="00E52F0F" w:rsidP="0056049F">
      <w:pPr>
        <w:bidi/>
        <w:spacing w:before="240" w:after="0" w:line="360" w:lineRule="auto"/>
        <w:jc w:val="both"/>
        <w:rPr>
          <w:rFonts w:ascii="Sakkal Majalla" w:eastAsia="Times New Roman" w:hAnsi="Sakkal Majalla" w:cs="Sakkal Majalla"/>
          <w:b/>
          <w:bCs/>
          <w:color w:val="000000"/>
          <w:sz w:val="28"/>
          <w:szCs w:val="28"/>
          <w:rtl/>
        </w:rPr>
      </w:pPr>
      <w:r w:rsidRPr="00E74E34">
        <w:rPr>
          <w:rFonts w:ascii="Sakkal Majalla" w:eastAsia="Times New Roman" w:hAnsi="Sakkal Majalla" w:cs="Sakkal Majalla" w:hint="cs"/>
          <w:b/>
          <w:bCs/>
          <w:color w:val="000000"/>
          <w:sz w:val="28"/>
          <w:szCs w:val="28"/>
          <w:rtl/>
          <w:lang w:bidi="ar-EG"/>
        </w:rPr>
        <w:t>ضوابط المصلحة</w:t>
      </w:r>
    </w:p>
    <w:p w:rsidR="00E52F0F" w:rsidRPr="00E74E34" w:rsidRDefault="00E52F0F" w:rsidP="0056049F">
      <w:pPr>
        <w:bidi/>
        <w:spacing w:before="240" w:after="0" w:line="360" w:lineRule="auto"/>
        <w:ind w:firstLine="720"/>
        <w:jc w:val="both"/>
        <w:rPr>
          <w:rFonts w:ascii="Sakkal Majalla" w:eastAsia="Times New Roman" w:hAnsi="Sakkal Majalla" w:cs="Sakkal Majalla"/>
          <w:b/>
          <w:bCs/>
          <w:color w:val="000000"/>
          <w:sz w:val="28"/>
          <w:szCs w:val="28"/>
          <w:rtl/>
        </w:rPr>
      </w:pPr>
      <w:r w:rsidRPr="00E74E34">
        <w:rPr>
          <w:rFonts w:ascii="Sakkal Majalla" w:eastAsia="Times New Roman" w:hAnsi="Sakkal Majalla" w:cs="Sakkal Majalla" w:hint="cs"/>
          <w:color w:val="000000"/>
          <w:sz w:val="28"/>
          <w:szCs w:val="28"/>
          <w:rtl/>
        </w:rPr>
        <w:t>ا</w:t>
      </w:r>
      <w:r w:rsidRPr="00E74E34">
        <w:rPr>
          <w:rFonts w:ascii="Sakkal Majalla" w:eastAsia="Times New Roman" w:hAnsi="Sakkal Majalla" w:cs="Sakkal Majalla" w:hint="cs"/>
          <w:color w:val="000000"/>
          <w:sz w:val="28"/>
          <w:szCs w:val="28"/>
          <w:rtl/>
          <w:lang w:bidi="ar-EG"/>
        </w:rPr>
        <w:t>تفق علماء أصول الفقه على استخدام المصلحة المعتبرة كدليل في إقامة الشريعة الإسلامية. كما اتفقوا على أن مصلحة الملغاه لا يمكن استخدامها كدليل في إقامة الشريعة الإسلامية، أما بالنسبة لصحة المصلحة المرسلة، فإن جمهور العلماء يقبلونها كأسلوب لتأسيس الشريعة الإسلامية، وإن اختلفو</w:t>
      </w:r>
      <w:r w:rsidRPr="00E74E34">
        <w:rPr>
          <w:rFonts w:ascii="Sakkal Majalla" w:eastAsia="Times New Roman" w:hAnsi="Sakkal Majalla" w:cs="Sakkal Majalla" w:hint="cs"/>
          <w:color w:val="000000"/>
          <w:sz w:val="28"/>
          <w:szCs w:val="28"/>
          <w:rtl/>
        </w:rPr>
        <w:t>ا</w:t>
      </w:r>
      <w:r w:rsidRPr="00E74E34">
        <w:rPr>
          <w:rFonts w:ascii="Sakkal Majalla" w:eastAsia="Times New Roman" w:hAnsi="Sakkal Majalla" w:cs="Sakkal Majalla" w:hint="cs"/>
          <w:color w:val="000000"/>
          <w:sz w:val="28"/>
          <w:szCs w:val="28"/>
          <w:rtl/>
          <w:lang w:bidi="ar-EG"/>
        </w:rPr>
        <w:t xml:space="preserve"> في التطبيق ووضع الشروط.</w:t>
      </w:r>
      <w:r w:rsidR="0028722A">
        <w:rPr>
          <w:rStyle w:val="EndnoteReference"/>
          <w:rFonts w:ascii="Sakkal Majalla" w:eastAsia="Times New Roman" w:hAnsi="Sakkal Majalla" w:cs="Sakkal Majalla"/>
          <w:color w:val="000000"/>
          <w:sz w:val="28"/>
          <w:szCs w:val="28"/>
          <w:rtl/>
          <w:lang w:bidi="ar-EG"/>
        </w:rPr>
        <w:endnoteReference w:id="36"/>
      </w:r>
      <w:r w:rsidRPr="00E74E34">
        <w:rPr>
          <w:rFonts w:ascii="Sakkal Majalla" w:eastAsia="Times New Roman" w:hAnsi="Sakkal Majalla" w:cs="Sakkal Majalla" w:hint="cs"/>
          <w:color w:val="000000"/>
          <w:sz w:val="28"/>
          <w:szCs w:val="28"/>
          <w:rtl/>
          <w:lang w:bidi="ar-EG"/>
        </w:rPr>
        <w:t xml:space="preserve"> وضوابط المصلحة هي: </w:t>
      </w:r>
      <w:r w:rsidRPr="00E74E34">
        <w:rPr>
          <w:rFonts w:ascii="Sakkal Majalla" w:eastAsia="Times New Roman" w:hAnsi="Sakkal Majalla" w:cs="Sakkal Majalla" w:hint="cs"/>
          <w:b/>
          <w:bCs/>
          <w:color w:val="000000"/>
          <w:sz w:val="28"/>
          <w:szCs w:val="28"/>
          <w:rtl/>
        </w:rPr>
        <w:t xml:space="preserve">أولا: </w:t>
      </w:r>
      <w:r w:rsidRPr="00E74E34">
        <w:rPr>
          <w:rFonts w:ascii="Sakkal Majalla" w:eastAsia="Times New Roman" w:hAnsi="Sakkal Majalla" w:cs="Sakkal Majalla" w:hint="cs"/>
          <w:color w:val="000000"/>
          <w:sz w:val="28"/>
          <w:szCs w:val="28"/>
          <w:rtl/>
          <w:lang w:bidi="ar-EG"/>
        </w:rPr>
        <w:t>أن تكون المصلحة موافقة لمقصود الشارع</w:t>
      </w:r>
      <w:r w:rsidRPr="00E74E34">
        <w:rPr>
          <w:rFonts w:ascii="Sakkal Majalla" w:eastAsia="Times New Roman" w:hAnsi="Sakkal Majalla" w:cs="Sakkal Majalla" w:hint="cs"/>
          <w:b/>
          <w:bCs/>
          <w:color w:val="000000"/>
          <w:sz w:val="28"/>
          <w:szCs w:val="28"/>
          <w:rtl/>
        </w:rPr>
        <w:t xml:space="preserve">، </w:t>
      </w:r>
      <w:r w:rsidRPr="00E74E34">
        <w:rPr>
          <w:rFonts w:ascii="Sakkal Majalla" w:eastAsia="Times New Roman" w:hAnsi="Sakkal Majalla" w:cs="Sakkal Majalla" w:hint="cs"/>
          <w:color w:val="000000"/>
          <w:sz w:val="28"/>
          <w:szCs w:val="28"/>
          <w:rtl/>
          <w:lang w:bidi="ar-EG"/>
        </w:rPr>
        <w:t xml:space="preserve">هذه هي معيار لجلب المصلحة ودرء المفسدة، إذ لا بد تتفق </w:t>
      </w:r>
      <w:r w:rsidRPr="00E74E34">
        <w:rPr>
          <w:rFonts w:ascii="Sakkal Majalla" w:eastAsia="Times New Roman" w:hAnsi="Sakkal Majalla" w:cs="Sakkal Majalla" w:hint="cs"/>
          <w:color w:val="000000"/>
          <w:sz w:val="28"/>
          <w:szCs w:val="28"/>
          <w:rtl/>
        </w:rPr>
        <w:t>لأ</w:t>
      </w:r>
      <w:r w:rsidRPr="00E74E34">
        <w:rPr>
          <w:rFonts w:ascii="Sakkal Majalla" w:eastAsia="Times New Roman" w:hAnsi="Sakkal Majalla" w:cs="Sakkal Majalla" w:hint="cs"/>
          <w:color w:val="000000"/>
          <w:sz w:val="28"/>
          <w:szCs w:val="28"/>
          <w:rtl/>
          <w:lang w:bidi="ar-EG"/>
        </w:rPr>
        <w:t>هدف الشرع، وإلا فإنها مرفوضة.</w:t>
      </w:r>
      <w:r w:rsidR="0028722A">
        <w:rPr>
          <w:rStyle w:val="EndnoteReference"/>
          <w:rFonts w:ascii="Sakkal Majalla" w:eastAsia="Times New Roman" w:hAnsi="Sakkal Majalla" w:cs="Sakkal Majalla"/>
          <w:color w:val="000000"/>
          <w:sz w:val="28"/>
          <w:szCs w:val="28"/>
          <w:rtl/>
          <w:lang w:bidi="ar-EG"/>
        </w:rPr>
        <w:endnoteReference w:id="37"/>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color w:val="000000"/>
          <w:sz w:val="28"/>
          <w:szCs w:val="28"/>
          <w:rtl/>
        </w:rPr>
        <w:t>وك</w:t>
      </w:r>
      <w:r w:rsidRPr="00E74E34">
        <w:rPr>
          <w:rFonts w:ascii="Sakkal Majalla" w:eastAsia="Times New Roman" w:hAnsi="Sakkal Majalla" w:cs="Sakkal Majalla" w:hint="cs"/>
          <w:color w:val="000000"/>
          <w:sz w:val="28"/>
          <w:szCs w:val="28"/>
          <w:rtl/>
          <w:lang w:bidi="ar-EG"/>
        </w:rPr>
        <w:t>ل ما يتضمن حفظ الأصول الخمسة مصلحة ووسيلة حفظها تتدرج في ثلاث مراحل، حسب أهميتها، وهي الضروريات والحاجيات والتحسينيات.</w:t>
      </w:r>
      <w:r w:rsidR="0028722A">
        <w:rPr>
          <w:rStyle w:val="EndnoteReference"/>
          <w:rFonts w:ascii="Sakkal Majalla" w:eastAsia="Times New Roman" w:hAnsi="Sakkal Majalla" w:cs="Sakkal Majalla"/>
          <w:color w:val="000000"/>
          <w:sz w:val="28"/>
          <w:szCs w:val="28"/>
          <w:rtl/>
          <w:lang w:bidi="ar-EG"/>
        </w:rPr>
        <w:endnoteReference w:id="38"/>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lang w:bidi="ar-EG"/>
        </w:rPr>
        <w:t>ثانيا:</w:t>
      </w:r>
      <w:r w:rsidRPr="00E74E34">
        <w:rPr>
          <w:rFonts w:ascii="Sakkal Majalla" w:eastAsia="Times New Roman" w:hAnsi="Sakkal Majalla" w:cs="Sakkal Majalla" w:hint="cs"/>
          <w:color w:val="000000"/>
          <w:sz w:val="28"/>
          <w:szCs w:val="28"/>
          <w:rtl/>
          <w:lang w:bidi="ar-EG"/>
        </w:rPr>
        <w:t xml:space="preserve"> أن ترجع إلى حفظ أمر ضروري ورفع حرج لازم في الدين</w:t>
      </w:r>
      <w:r w:rsidRPr="00E74E34">
        <w:rPr>
          <w:rFonts w:ascii="Sakkal Majalla" w:eastAsia="Times New Roman" w:hAnsi="Sakkal Majalla" w:cs="Sakkal Majalla" w:hint="cs"/>
          <w:color w:val="000000"/>
          <w:sz w:val="28"/>
          <w:szCs w:val="28"/>
          <w:rtl/>
        </w:rPr>
        <w:t>.</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rPr>
        <w:t xml:space="preserve">ثالثا: </w:t>
      </w:r>
      <w:r w:rsidRPr="00E74E34">
        <w:rPr>
          <w:rFonts w:ascii="Sakkal Majalla" w:eastAsia="Times New Roman" w:hAnsi="Sakkal Majalla" w:cs="Sakkal Majalla" w:hint="cs"/>
          <w:color w:val="000000"/>
          <w:sz w:val="28"/>
          <w:szCs w:val="28"/>
          <w:rtl/>
          <w:lang w:bidi="ar-EG"/>
        </w:rPr>
        <w:t xml:space="preserve">أن تكون المصلحة حقيقة لا متوهمة. </w:t>
      </w:r>
      <w:r w:rsidRPr="00E74E34">
        <w:rPr>
          <w:rFonts w:ascii="Sakkal Majalla" w:eastAsia="Times New Roman" w:hAnsi="Sakkal Majalla" w:cs="Sakkal Majalla" w:hint="cs"/>
          <w:color w:val="000000"/>
          <w:sz w:val="28"/>
          <w:szCs w:val="28"/>
          <w:rtl/>
        </w:rPr>
        <w:t xml:space="preserve">لأن </w:t>
      </w:r>
      <w:r w:rsidRPr="00E74E34">
        <w:rPr>
          <w:rFonts w:ascii="Sakkal Majalla" w:eastAsia="Times New Roman" w:hAnsi="Sakkal Majalla" w:cs="Sakkal Majalla" w:hint="cs"/>
          <w:color w:val="000000"/>
          <w:sz w:val="28"/>
          <w:szCs w:val="28"/>
          <w:rtl/>
          <w:lang w:bidi="ar-EG"/>
        </w:rPr>
        <w:t>المصلحة المصادمة للنصوص القرآنية أو النبوية، مصلحة ملغاة ومهدرة؛ لأنه بعد التأمل العميق والتحليل الدقيق لا تكون مصلحة حقيقية، بل هي مصلحة موهومة،</w:t>
      </w:r>
      <w:r w:rsidR="0028722A">
        <w:rPr>
          <w:rStyle w:val="EndnoteReference"/>
          <w:rFonts w:ascii="Sakkal Majalla" w:eastAsia="Times New Roman" w:hAnsi="Sakkal Majalla" w:cs="Sakkal Majalla"/>
          <w:color w:val="000000"/>
          <w:sz w:val="28"/>
          <w:szCs w:val="28"/>
          <w:rtl/>
          <w:lang w:bidi="ar-EG"/>
        </w:rPr>
        <w:endnoteReference w:id="39"/>
      </w:r>
      <w:r w:rsidRPr="00E74E34">
        <w:rPr>
          <w:rFonts w:ascii="Sakkal Majalla" w:eastAsia="Times New Roman" w:hAnsi="Sakkal Majalla" w:cs="Sakkal Majalla" w:hint="cs"/>
          <w:color w:val="000000"/>
          <w:sz w:val="28"/>
          <w:szCs w:val="28"/>
          <w:rtl/>
          <w:lang w:bidi="ar-EG"/>
        </w:rPr>
        <w:t xml:space="preserve"> والمصلحة المتوهمة لا ينظر إليها، فالمتوهمة هي التي يتخيل فيها منفعة وهي عند التأمل مضرة، وذلك لخفاء الضرر </w:t>
      </w:r>
      <w:r w:rsidRPr="00E74E34">
        <w:rPr>
          <w:rFonts w:ascii="Sakkal Majalla" w:eastAsia="Times New Roman" w:hAnsi="Sakkal Majalla" w:cs="Sakkal Majalla" w:hint="cs"/>
          <w:color w:val="000000"/>
          <w:sz w:val="28"/>
          <w:szCs w:val="28"/>
          <w:rtl/>
          <w:lang w:bidi="ar-EG"/>
        </w:rPr>
        <w:lastRenderedPageBreak/>
        <w:t>فيها.</w:t>
      </w:r>
      <w:r w:rsidR="0028722A">
        <w:rPr>
          <w:rStyle w:val="EndnoteReference"/>
          <w:rFonts w:ascii="Sakkal Majalla" w:eastAsia="Times New Roman" w:hAnsi="Sakkal Majalla" w:cs="Sakkal Majalla"/>
          <w:color w:val="000000"/>
          <w:sz w:val="28"/>
          <w:szCs w:val="28"/>
          <w:rtl/>
          <w:lang w:bidi="ar-EG"/>
        </w:rPr>
        <w:endnoteReference w:id="40"/>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lang w:bidi="ar-EG"/>
        </w:rPr>
        <w:t>رابعا:</w:t>
      </w:r>
      <w:r w:rsidRPr="00E74E34">
        <w:rPr>
          <w:rFonts w:ascii="Sakkal Majalla" w:eastAsia="Times New Roman" w:hAnsi="Sakkal Majalla" w:cs="Sakkal Majalla" w:hint="cs"/>
          <w:color w:val="000000"/>
          <w:sz w:val="28"/>
          <w:szCs w:val="28"/>
          <w:rtl/>
          <w:lang w:bidi="ar-EG"/>
        </w:rPr>
        <w:t xml:space="preserve"> عدم معارضتها للكتاب أو السنة أو الإجماع الصحيح.</w:t>
      </w:r>
      <w:r w:rsidRPr="00E74E34">
        <w:rPr>
          <w:rFonts w:ascii="Sakkal Majalla" w:eastAsia="Times New Roman" w:hAnsi="Sakkal Majalla" w:cs="Sakkal Majalla" w:hint="cs"/>
          <w:b/>
          <w:bCs/>
          <w:color w:val="000000"/>
          <w:sz w:val="28"/>
          <w:szCs w:val="28"/>
          <w:rtl/>
        </w:rPr>
        <w:t xml:space="preserve"> </w:t>
      </w:r>
      <w:r w:rsidRPr="00E74E34">
        <w:rPr>
          <w:rFonts w:ascii="Sakkal Majalla" w:eastAsia="Times New Roman" w:hAnsi="Sakkal Majalla" w:cs="Sakkal Majalla" w:hint="cs"/>
          <w:color w:val="000000"/>
          <w:sz w:val="28"/>
          <w:szCs w:val="28"/>
          <w:rtl/>
          <w:lang w:bidi="ar-EG"/>
        </w:rPr>
        <w:t>فإن عارضت شيئا من هذه الأدلة فهي مصلحة ملغاة.</w:t>
      </w:r>
      <w:r w:rsidR="0028722A">
        <w:rPr>
          <w:rStyle w:val="EndnoteReference"/>
          <w:rFonts w:ascii="Sakkal Majalla" w:eastAsia="Times New Roman" w:hAnsi="Sakkal Majalla" w:cs="Sakkal Majalla"/>
          <w:color w:val="000000"/>
          <w:sz w:val="28"/>
          <w:szCs w:val="28"/>
          <w:rtl/>
          <w:lang w:bidi="ar-EG"/>
        </w:rPr>
        <w:endnoteReference w:id="41"/>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b/>
          <w:bCs/>
          <w:color w:val="000000"/>
          <w:sz w:val="28"/>
          <w:szCs w:val="28"/>
          <w:rtl/>
        </w:rPr>
        <w:t xml:space="preserve">خامسا: </w:t>
      </w:r>
      <w:r w:rsidRPr="00E74E34">
        <w:rPr>
          <w:rFonts w:ascii="Sakkal Majalla" w:eastAsia="Times New Roman" w:hAnsi="Sakkal Majalla" w:cs="Sakkal Majalla" w:hint="cs"/>
          <w:color w:val="000000"/>
          <w:sz w:val="28"/>
          <w:szCs w:val="28"/>
          <w:rtl/>
          <w:lang w:bidi="ar-EG"/>
        </w:rPr>
        <w:t>عدم تفويتها مصلحة أهم منها أو مساوية لها.</w:t>
      </w:r>
      <w:r w:rsidRPr="00E74E34">
        <w:rPr>
          <w:rFonts w:ascii="Sakkal Majalla" w:eastAsia="Times New Roman" w:hAnsi="Sakkal Majalla" w:cs="Sakkal Majalla" w:hint="cs"/>
          <w:b/>
          <w:bCs/>
          <w:color w:val="000000"/>
          <w:sz w:val="28"/>
          <w:szCs w:val="28"/>
          <w:rtl/>
        </w:rPr>
        <w:t xml:space="preserve"> </w:t>
      </w:r>
      <w:r w:rsidRPr="00E74E34">
        <w:rPr>
          <w:rFonts w:ascii="Sakkal Majalla" w:eastAsia="Times New Roman" w:hAnsi="Sakkal Majalla" w:cs="Sakkal Majalla" w:hint="cs"/>
          <w:color w:val="000000"/>
          <w:sz w:val="28"/>
          <w:szCs w:val="28"/>
          <w:rtl/>
          <w:lang w:bidi="ar-EG"/>
        </w:rPr>
        <w:t>وذلك بالنظر لها من حيث قوتها وشمولها. فلا تقدم المصلحة الحاجية على المصلحة الضرورية، ولا المصلحة الحاجية على المصلحة التحسينية، ولا تقدم المصلحة الخاصة</w:t>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بأفراد على المصلحة المتعلقة بجماعات ولا تقدم المصلحة المتعلقة بجمعات على المصلحة العامة لكل الأمة.</w:t>
      </w:r>
      <w:r w:rsidR="0028722A">
        <w:rPr>
          <w:rStyle w:val="EndnoteReference"/>
          <w:rFonts w:ascii="Sakkal Majalla" w:eastAsia="Times New Roman" w:hAnsi="Sakkal Majalla" w:cs="Sakkal Majalla"/>
          <w:color w:val="000000"/>
          <w:sz w:val="28"/>
          <w:szCs w:val="28"/>
          <w:rtl/>
          <w:lang w:bidi="ar-EG"/>
        </w:rPr>
        <w:endnoteReference w:id="42"/>
      </w:r>
      <w:r w:rsidRPr="00E74E34">
        <w:rPr>
          <w:rFonts w:ascii="Sakkal Majalla" w:eastAsia="Times New Roman" w:hAnsi="Sakkal Majalla" w:cs="Sakkal Majalla" w:hint="cs"/>
          <w:color w:val="000000"/>
          <w:sz w:val="28"/>
          <w:szCs w:val="28"/>
          <w:rtl/>
          <w:lang w:bidi="ar-EG"/>
        </w:rPr>
        <w:t xml:space="preserve"> </w:t>
      </w:r>
    </w:p>
    <w:p w:rsidR="00E52F0F" w:rsidRPr="00E74E34" w:rsidRDefault="00E52F0F" w:rsidP="0056049F">
      <w:pPr>
        <w:bidi/>
        <w:spacing w:before="240" w:after="0" w:line="360" w:lineRule="auto"/>
        <w:rPr>
          <w:rFonts w:ascii="Sakkal Majalla" w:eastAsia="Times New Roman" w:hAnsi="Sakkal Majalla" w:cs="Sakkal Majalla"/>
          <w:b/>
          <w:bCs/>
          <w:color w:val="000000"/>
          <w:sz w:val="28"/>
          <w:szCs w:val="28"/>
        </w:rPr>
      </w:pPr>
      <w:r w:rsidRPr="00E74E34">
        <w:rPr>
          <w:rFonts w:ascii="Sakkal Majalla" w:eastAsia="Times New Roman" w:hAnsi="Sakkal Majalla" w:cs="Sakkal Majalla" w:hint="cs"/>
          <w:b/>
          <w:bCs/>
          <w:color w:val="000000"/>
          <w:sz w:val="28"/>
          <w:szCs w:val="28"/>
          <w:rtl/>
        </w:rPr>
        <w:t>نشأة الهيئة الشرعية الوطنية</w:t>
      </w:r>
    </w:p>
    <w:p w:rsidR="00E52F0F" w:rsidRPr="00E74E34" w:rsidRDefault="00E52F0F" w:rsidP="0056049F">
      <w:pPr>
        <w:bidi/>
        <w:spacing w:before="240" w:after="0" w:line="360" w:lineRule="auto"/>
        <w:ind w:firstLine="522"/>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rPr>
        <w:t>العلماء لها دورا عظيما في بناء الأمة، من النصح وإرشادهم للمسلمين، ولكثرة أسئلة من الجمهور، فإنها يرفع الوعي لتشكيل منتدى منظم ومنهجي للعلماء لاستيعاب المفتين في المؤسسة الرسمية،</w:t>
      </w:r>
      <w:r w:rsidR="0028722A">
        <w:rPr>
          <w:rStyle w:val="EndnoteReference"/>
          <w:rFonts w:ascii="Sakkal Majalla" w:eastAsia="Times New Roman" w:hAnsi="Sakkal Majalla" w:cs="Sakkal Majalla"/>
          <w:color w:val="000000"/>
          <w:sz w:val="28"/>
          <w:szCs w:val="28"/>
          <w:rtl/>
        </w:rPr>
        <w:endnoteReference w:id="43"/>
      </w:r>
      <w:r w:rsidR="0028722A">
        <w:rPr>
          <w:rFonts w:ascii="Sakkal Majalla" w:eastAsia="Times New Roman" w:hAnsi="Sakkal Majalla" w:cs="Sakkal Majalla"/>
          <w:color w:val="000000"/>
          <w:sz w:val="28"/>
          <w:szCs w:val="28"/>
          <w:lang w:val="en-US"/>
        </w:rPr>
        <w:t xml:space="preserve"> </w:t>
      </w:r>
      <w:r w:rsidRPr="00E74E34">
        <w:rPr>
          <w:rFonts w:ascii="Sakkal Majalla" w:eastAsia="Times New Roman" w:hAnsi="Sakkal Majalla" w:cs="Sakkal Majalla" w:hint="cs"/>
          <w:color w:val="000000"/>
          <w:sz w:val="28"/>
          <w:szCs w:val="28"/>
          <w:rtl/>
        </w:rPr>
        <w:t>وهو مجلس العلماء الإندونيسي، تم إنشاؤه عام 1975 مع سلطة إصدار الفتاوى في المجال الديني، وتحديداً في مجال الشريعة الإسلامية.</w:t>
      </w:r>
      <w:r w:rsidR="0028722A">
        <w:rPr>
          <w:rStyle w:val="EndnoteReference"/>
          <w:rFonts w:ascii="Sakkal Majalla" w:eastAsia="Times New Roman" w:hAnsi="Sakkal Majalla" w:cs="Sakkal Majalla"/>
          <w:color w:val="000000"/>
          <w:sz w:val="28"/>
          <w:szCs w:val="28"/>
          <w:rtl/>
        </w:rPr>
        <w:endnoteReference w:id="44"/>
      </w:r>
      <w:r w:rsidRPr="00E74E34">
        <w:rPr>
          <w:rFonts w:ascii="Sakkal Majalla" w:eastAsia="Times New Roman" w:hAnsi="Sakkal Majalla" w:cs="Sakkal Majalla" w:hint="cs"/>
          <w:color w:val="000000"/>
          <w:sz w:val="28"/>
          <w:szCs w:val="28"/>
          <w:rtl/>
        </w:rPr>
        <w:t xml:space="preserve"> ثم أنشأ بعد ذلك الهيئة الشرعية الوطنية، بهدف: </w:t>
      </w:r>
      <w:r w:rsidRPr="00E74E34">
        <w:rPr>
          <w:rFonts w:ascii="Sakkal Majalla" w:eastAsia="Times New Roman" w:hAnsi="Sakkal Majalla" w:cs="Sakkal Majalla" w:hint="cs"/>
          <w:b/>
          <w:bCs/>
          <w:color w:val="000000"/>
          <w:sz w:val="28"/>
          <w:szCs w:val="28"/>
          <w:rtl/>
        </w:rPr>
        <w:t>أولا:</w:t>
      </w:r>
      <w:r w:rsidRPr="00E74E34">
        <w:rPr>
          <w:rFonts w:ascii="Sakkal Majalla" w:eastAsia="Times New Roman" w:hAnsi="Sakkal Majalla" w:cs="Sakkal Majalla" w:hint="cs"/>
          <w:color w:val="000000"/>
          <w:sz w:val="28"/>
          <w:szCs w:val="28"/>
          <w:rtl/>
        </w:rPr>
        <w:t xml:space="preserve"> </w:t>
      </w:r>
      <w:r w:rsidRPr="00E74E34">
        <w:rPr>
          <w:rFonts w:ascii="Sakkal Majalla" w:eastAsia="Times New Roman" w:hAnsi="Sakkal Majalla" w:cs="Sakkal Majalla" w:hint="cs"/>
          <w:color w:val="000000"/>
          <w:sz w:val="28"/>
          <w:szCs w:val="28"/>
          <w:rtl/>
          <w:lang w:bidi="ar-EG"/>
        </w:rPr>
        <w:t xml:space="preserve">لتحقيق الطمحات لدي الأمة الإسلامية في شؤون الاقتصاد، والحث على تطبيق تعاليم الإسلام في مجالات المالية حتى تتوافق بالشريعة الإسلامية. </w:t>
      </w:r>
      <w:r w:rsidRPr="00E74E34">
        <w:rPr>
          <w:rFonts w:ascii="Sakkal Majalla" w:eastAsia="Times New Roman" w:hAnsi="Sakkal Majalla" w:cs="Sakkal Majalla" w:hint="cs"/>
          <w:b/>
          <w:bCs/>
          <w:color w:val="000000"/>
          <w:sz w:val="28"/>
          <w:szCs w:val="28"/>
          <w:rtl/>
          <w:lang w:bidi="ar-EG"/>
        </w:rPr>
        <w:t>ثانيا:</w:t>
      </w:r>
      <w:r w:rsidRPr="00E74E34">
        <w:rPr>
          <w:rFonts w:ascii="Sakkal Majalla" w:eastAsia="Times New Roman" w:hAnsi="Sakkal Majalla" w:cs="Sakkal Majalla" w:hint="cs"/>
          <w:color w:val="000000"/>
          <w:sz w:val="28"/>
          <w:szCs w:val="28"/>
          <w:rtl/>
          <w:lang w:bidi="ar-EG"/>
        </w:rPr>
        <w:t xml:space="preserve"> يعتبر هذا التأسيس خطوات فعالة لتنسيق العلماء في الرد على القضية الاقتصادية الظاهرة في المجتمع المتعلقة بالاقتصاد الاسلامي، </w:t>
      </w:r>
      <w:r w:rsidRPr="00E74E34">
        <w:rPr>
          <w:rFonts w:ascii="Sakkal Majalla" w:eastAsia="Times New Roman" w:hAnsi="Sakkal Majalla" w:cs="Sakkal Majalla" w:hint="cs"/>
          <w:b/>
          <w:bCs/>
          <w:color w:val="000000"/>
          <w:sz w:val="28"/>
          <w:szCs w:val="28"/>
          <w:rtl/>
          <w:lang w:bidi="ar-EG"/>
        </w:rPr>
        <w:t>ثالثا:</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eastAsia="Times New Roman" w:hAnsi="Sakkal Majalla" w:cs="Sakkal Majalla" w:hint="cs"/>
          <w:color w:val="000000"/>
          <w:sz w:val="28"/>
          <w:szCs w:val="28"/>
          <w:rtl/>
          <w:lang w:bidi="ar-EG"/>
        </w:rPr>
        <w:lastRenderedPageBreak/>
        <w:t>الحث على تطبيق الشريعة الإسلامية في الحياة الاقتصادية.</w:t>
      </w:r>
      <w:r w:rsidR="0028722A">
        <w:rPr>
          <w:rStyle w:val="EndnoteReference"/>
          <w:rFonts w:ascii="Sakkal Majalla" w:eastAsia="Times New Roman" w:hAnsi="Sakkal Majalla" w:cs="Sakkal Majalla"/>
          <w:color w:val="000000"/>
          <w:sz w:val="28"/>
          <w:szCs w:val="28"/>
          <w:rtl/>
          <w:lang w:bidi="ar-EG"/>
        </w:rPr>
        <w:endnoteReference w:id="45"/>
      </w:r>
      <w:r w:rsidRPr="00E74E34">
        <w:rPr>
          <w:rFonts w:ascii="Sakkal Majalla" w:eastAsia="Times New Roman" w:hAnsi="Sakkal Majalla" w:cs="Sakkal Majalla" w:hint="cs"/>
          <w:color w:val="000000"/>
          <w:sz w:val="28"/>
          <w:szCs w:val="28"/>
          <w:rtl/>
          <w:lang w:bidi="ar-EG"/>
        </w:rPr>
        <w:t xml:space="preserve">  تم إنشاؤه تاريخ 10 فبراير 1999م وهي نتيجة من ندوة العلماء حول الصناديق الاستثمارية الذي عقد 29-30 يوليو 1997م.</w:t>
      </w:r>
      <w:r w:rsidR="0028722A">
        <w:rPr>
          <w:rStyle w:val="EndnoteReference"/>
          <w:rFonts w:ascii="Sakkal Majalla" w:eastAsia="Times New Roman" w:hAnsi="Sakkal Majalla" w:cs="Sakkal Majalla"/>
          <w:color w:val="000000"/>
          <w:sz w:val="28"/>
          <w:szCs w:val="28"/>
          <w:rtl/>
          <w:lang w:bidi="ar-EG"/>
        </w:rPr>
        <w:endnoteReference w:id="46"/>
      </w:r>
    </w:p>
    <w:p w:rsidR="00E52F0F" w:rsidRPr="00E74E34" w:rsidRDefault="00E52F0F" w:rsidP="0056049F">
      <w:pPr>
        <w:bidi/>
        <w:spacing w:before="240" w:after="0" w:line="360" w:lineRule="auto"/>
        <w:rPr>
          <w:rFonts w:ascii="Sakkal Majalla" w:eastAsia="Times New Roman" w:hAnsi="Sakkal Majalla" w:cs="Sakkal Majalla"/>
          <w:b/>
          <w:bCs/>
          <w:color w:val="000000"/>
          <w:sz w:val="28"/>
          <w:szCs w:val="28"/>
        </w:rPr>
      </w:pPr>
      <w:r w:rsidRPr="00E74E34">
        <w:rPr>
          <w:rFonts w:ascii="Sakkal Majalla" w:eastAsia="Times New Roman" w:hAnsi="Sakkal Majalla" w:cs="Sakkal Majalla" w:hint="cs"/>
          <w:b/>
          <w:bCs/>
          <w:color w:val="000000"/>
          <w:sz w:val="28"/>
          <w:szCs w:val="28"/>
          <w:rtl/>
        </w:rPr>
        <w:t>منهج الهيئة الشرعية الوطنية في الفتوى</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lang w:bidi="ar-EG"/>
        </w:rPr>
      </w:pPr>
      <w:r w:rsidRPr="00E74E34">
        <w:rPr>
          <w:rFonts w:ascii="Sakkal Majalla" w:eastAsia="Times New Roman" w:hAnsi="Sakkal Majalla" w:cs="Sakkal Majalla" w:hint="cs"/>
          <w:color w:val="000000"/>
          <w:sz w:val="28"/>
          <w:szCs w:val="28"/>
          <w:rtl/>
          <w:lang w:bidi="ar-EG"/>
        </w:rPr>
        <w:t>منهج استنباط الحكم الهيئة الشرعية الوطنية لا يختلف عن منهج استنباط حكم المجلس العلماء الإندونيسي، إذ هي مؤسسة تابعة لمجلس العلماء الإندونيسي فكانت إجراءات إعداد الفتوى فيهما سواء،</w:t>
      </w:r>
      <w:r w:rsidR="0028722A">
        <w:rPr>
          <w:rStyle w:val="EndnoteReference"/>
          <w:rFonts w:ascii="Sakkal Majalla" w:eastAsia="Times New Roman" w:hAnsi="Sakkal Majalla" w:cs="Sakkal Majalla"/>
          <w:color w:val="000000"/>
          <w:sz w:val="28"/>
          <w:szCs w:val="28"/>
          <w:rtl/>
          <w:lang w:bidi="ar-EG"/>
        </w:rPr>
        <w:endnoteReference w:id="47"/>
      </w:r>
      <w:r w:rsidRPr="00E74E34">
        <w:rPr>
          <w:rFonts w:ascii="Sakkal Majalla" w:eastAsia="Times New Roman" w:hAnsi="Sakkal Majalla" w:cs="Sakkal Majalla" w:hint="cs"/>
          <w:color w:val="000000"/>
          <w:sz w:val="28"/>
          <w:szCs w:val="28"/>
          <w:rtl/>
          <w:lang w:bidi="ar-EG"/>
        </w:rPr>
        <w:t xml:space="preserve"> إلا في موضوع الفتوى فإن مجلس العلماء يصدر الفتاوى العامة يتعلق بالدين من العبادة والمجتمع الاجتماعي وكذلك العلوم والتكنولوجيا بينما الهيئة الشرعية تصدر الفتاوى المتعلقة بالاقتصاد الإسلامي والتمويل.</w:t>
      </w:r>
      <w:r w:rsidR="00995817">
        <w:rPr>
          <w:rStyle w:val="EndnoteReference"/>
          <w:rFonts w:ascii="Sakkal Majalla" w:eastAsia="Times New Roman" w:hAnsi="Sakkal Majalla" w:cs="Sakkal Majalla"/>
          <w:color w:val="000000"/>
          <w:sz w:val="28"/>
          <w:szCs w:val="28"/>
          <w:rtl/>
          <w:lang w:bidi="ar-EG"/>
        </w:rPr>
        <w:endnoteReference w:id="48"/>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rPr>
      </w:pPr>
      <w:r w:rsidRPr="00E74E34">
        <w:rPr>
          <w:rFonts w:ascii="Sakkal Majalla" w:eastAsia="Times New Roman" w:hAnsi="Sakkal Majalla" w:cs="Sakkal Majalla" w:hint="cs"/>
          <w:color w:val="000000"/>
          <w:sz w:val="28"/>
          <w:szCs w:val="28"/>
          <w:rtl/>
          <w:lang w:bidi="ar-EG"/>
        </w:rPr>
        <w:t xml:space="preserve">الهيئة الشرعية الوطنية لها منهج إصدار الفتوى أي الخطوات التي مر بها قبل إصدار الفتوى، وهي: أولا: استفتاء المؤسسة المالية الإسلامية أو الجهات المعينة بالمسألة، ثم ثانيا: تسجيل الاستفتاء، ثالثا: اجتماع أغضاء اللجنة الدائمة للفتوى، رابعا: تكليف الباحثين لإعداد البحوث في المسألة، خامسا: اجتماع أعضاء اللجنة الدائمة لاستلام البحوث المعدة في المسألة، ثم سادسا: إعداد مسودة الفتوى، ثم </w:t>
      </w:r>
      <w:r w:rsidRPr="00E74E34">
        <w:rPr>
          <w:rFonts w:ascii="Sakkal Majalla" w:eastAsia="Times New Roman" w:hAnsi="Sakkal Majalla" w:cs="Sakkal Majalla" w:hint="cs"/>
          <w:color w:val="000000"/>
          <w:sz w:val="28"/>
          <w:szCs w:val="28"/>
          <w:rtl/>
          <w:lang w:bidi="ar-EG"/>
        </w:rPr>
        <w:lastRenderedPageBreak/>
        <w:t>سابعا: عرض مسودة أخبرة الفتوى في اجتماع أعضاء اللجنة الدائمة للفتوى مع الجهات المعينة بالمسألة، ثم إعداد مسودة أخيرة للفتوى، ثم اجتماع عام لأعضاء الهيئة الشرعية الوطنية، ثم تحرير مسودة الفتوى، ثم إتممام صيغة الفتوى، ثم إصدار الفتوى وإبلاغها للمستفتي والمجتمع العلم.</w:t>
      </w:r>
      <w:r w:rsidR="00995817">
        <w:rPr>
          <w:rStyle w:val="EndnoteReference"/>
          <w:rFonts w:ascii="Sakkal Majalla" w:eastAsia="Times New Roman" w:hAnsi="Sakkal Majalla" w:cs="Sakkal Majalla"/>
          <w:color w:val="000000"/>
          <w:sz w:val="28"/>
          <w:szCs w:val="28"/>
          <w:rtl/>
          <w:lang w:bidi="ar-EG"/>
        </w:rPr>
        <w:endnoteReference w:id="49"/>
      </w:r>
      <w:r w:rsidRPr="00E74E34">
        <w:rPr>
          <w:rFonts w:ascii="Sakkal Majalla" w:eastAsia="Times New Roman" w:hAnsi="Sakkal Majalla" w:cs="Sakkal Majalla" w:hint="cs"/>
          <w:color w:val="000000"/>
          <w:sz w:val="28"/>
          <w:szCs w:val="28"/>
          <w:rtl/>
          <w:lang w:bidi="ar-EG"/>
        </w:rPr>
        <w:t xml:space="preserve">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 xml:space="preserve">أصدر مجلس العلماء دليل إثبات الفتوى رقم </w:t>
      </w:r>
      <w:r w:rsidRPr="00E74E34">
        <w:rPr>
          <w:rFonts w:ascii="Sakkal Majalla" w:eastAsia="Times New Roman" w:hAnsi="Sakkal Majalla" w:cs="Sakkal Majalla" w:hint="cs"/>
          <w:color w:val="000000"/>
          <w:sz w:val="28"/>
          <w:szCs w:val="28"/>
          <w:lang w:bidi="ar-EG"/>
        </w:rPr>
        <w:t>U-596/MUI/X/1997</w:t>
      </w:r>
      <w:r w:rsidRPr="00E74E34">
        <w:rPr>
          <w:rFonts w:ascii="Sakkal Majalla" w:eastAsia="Times New Roman" w:hAnsi="Sakkal Majalla" w:cs="Sakkal Majalla" w:hint="cs"/>
          <w:color w:val="000000"/>
          <w:sz w:val="28"/>
          <w:szCs w:val="28"/>
          <w:rtl/>
          <w:lang w:bidi="ar-EG"/>
        </w:rPr>
        <w:t xml:space="preserve">. بشأن الأسس العامة </w:t>
      </w:r>
      <w:r w:rsidRPr="00E74E34">
        <w:rPr>
          <w:rFonts w:ascii="Sakkal Majalla" w:eastAsia="Times New Roman" w:hAnsi="Sakkal Majalla" w:cs="Sakkal Majalla" w:hint="cs"/>
          <w:color w:val="000000"/>
          <w:sz w:val="28"/>
          <w:szCs w:val="28"/>
          <w:rtl/>
        </w:rPr>
        <w:t xml:space="preserve">في إصدار الفتوى، أنها تجب–على الأقل- تنفيذ أربعة مبادئ  وهي: </w:t>
      </w:r>
      <w:r w:rsidRPr="00E74E34">
        <w:rPr>
          <w:rFonts w:ascii="Sakkal Majalla" w:eastAsia="Times New Roman" w:hAnsi="Sakkal Majalla" w:cs="Sakkal Majalla" w:hint="cs"/>
          <w:b/>
          <w:bCs/>
          <w:color w:val="000000"/>
          <w:sz w:val="28"/>
          <w:szCs w:val="28"/>
          <w:rtl/>
        </w:rPr>
        <w:t>أولا:</w:t>
      </w:r>
      <w:r w:rsidRPr="00E74E34">
        <w:rPr>
          <w:rFonts w:ascii="Sakkal Majalla" w:eastAsia="Times New Roman" w:hAnsi="Sakkal Majalla" w:cs="Sakkal Majalla" w:hint="cs"/>
          <w:color w:val="000000"/>
          <w:sz w:val="28"/>
          <w:szCs w:val="28"/>
          <w:rtl/>
        </w:rPr>
        <w:t xml:space="preserve"> استناده على الكتاب والسنة ولا يخالف المصلحة. </w:t>
      </w:r>
      <w:r w:rsidRPr="00E74E34">
        <w:rPr>
          <w:rFonts w:ascii="Sakkal Majalla" w:eastAsia="Times New Roman" w:hAnsi="Sakkal Majalla" w:cs="Sakkal Majalla" w:hint="cs"/>
          <w:b/>
          <w:bCs/>
          <w:color w:val="000000"/>
          <w:sz w:val="28"/>
          <w:szCs w:val="28"/>
          <w:rtl/>
        </w:rPr>
        <w:t>ثانيا:</w:t>
      </w:r>
      <w:r w:rsidRPr="00E74E34">
        <w:rPr>
          <w:rFonts w:ascii="Sakkal Majalla" w:eastAsia="Times New Roman" w:hAnsi="Sakkal Majalla" w:cs="Sakkal Majalla" w:hint="cs"/>
          <w:color w:val="000000"/>
          <w:sz w:val="28"/>
          <w:szCs w:val="28"/>
          <w:rtl/>
        </w:rPr>
        <w:t xml:space="preserve"> وإذا لم يوجد فيهما، فالفتوى لا تجوز أن تعارض الأدلة الأخرى كالاستحسان والمصالح المرسلة وسد الذريعة. </w:t>
      </w:r>
      <w:r w:rsidRPr="00E74E34">
        <w:rPr>
          <w:rFonts w:ascii="Sakkal Majalla" w:eastAsia="Times New Roman" w:hAnsi="Sakkal Majalla" w:cs="Sakkal Majalla" w:hint="cs"/>
          <w:b/>
          <w:bCs/>
          <w:color w:val="000000"/>
          <w:sz w:val="28"/>
          <w:szCs w:val="28"/>
          <w:rtl/>
        </w:rPr>
        <w:t>ثالثا:</w:t>
      </w:r>
      <w:r w:rsidRPr="00E74E34">
        <w:rPr>
          <w:rFonts w:ascii="Sakkal Majalla" w:eastAsia="Times New Roman" w:hAnsi="Sakkal Majalla" w:cs="Sakkal Majalla" w:hint="cs"/>
          <w:color w:val="000000"/>
          <w:sz w:val="28"/>
          <w:szCs w:val="28"/>
          <w:rtl/>
        </w:rPr>
        <w:t xml:space="preserve"> مراعاة آراء العلماء أدلتها قبل تقرير الفتوى </w:t>
      </w:r>
      <w:r w:rsidRPr="00E74E34">
        <w:rPr>
          <w:rFonts w:ascii="Sakkal Majalla" w:eastAsia="Times New Roman" w:hAnsi="Sakkal Majalla" w:cs="Sakkal Majalla" w:hint="cs"/>
          <w:b/>
          <w:bCs/>
          <w:color w:val="000000"/>
          <w:sz w:val="28"/>
          <w:szCs w:val="28"/>
          <w:rtl/>
        </w:rPr>
        <w:t>رابعا:</w:t>
      </w:r>
      <w:r w:rsidRPr="00E74E34">
        <w:rPr>
          <w:rFonts w:ascii="Sakkal Majalla" w:eastAsia="Times New Roman" w:hAnsi="Sakkal Majalla" w:cs="Sakkal Majalla" w:hint="cs"/>
          <w:color w:val="000000"/>
          <w:sz w:val="28"/>
          <w:szCs w:val="28"/>
          <w:rtl/>
        </w:rPr>
        <w:t xml:space="preserve"> مراعاة آراء الخبراء في المسألة المطروحة حتي يصل على تصور الكامل بشأن المسألة لأن الدقة في تحليل المسألة ستؤثر كثيرا على الدقة في استنباط الحكم. </w:t>
      </w:r>
      <w:r w:rsidRPr="00E74E34">
        <w:rPr>
          <w:rFonts w:ascii="Sakkal Majalla" w:eastAsia="Times New Roman" w:hAnsi="Sakkal Majalla" w:cs="Sakkal Majalla" w:hint="cs"/>
          <w:b/>
          <w:bCs/>
          <w:color w:val="000000"/>
          <w:sz w:val="28"/>
          <w:szCs w:val="28"/>
          <w:rtl/>
        </w:rPr>
        <w:t>خامسا:</w:t>
      </w:r>
      <w:r w:rsidRPr="00E74E34">
        <w:rPr>
          <w:rFonts w:ascii="Sakkal Majalla" w:eastAsia="Times New Roman" w:hAnsi="Sakkal Majalla" w:cs="Sakkal Majalla" w:hint="cs"/>
          <w:color w:val="000000"/>
          <w:sz w:val="28"/>
          <w:szCs w:val="28"/>
          <w:rtl/>
        </w:rPr>
        <w:t xml:space="preserve"> ترجيح أقوال العلماء عند وجود الاختلاف بينهم مع مراعاة الفقه المقارن والقواعد الأصولية المقارنة المتعلقة بالترجيح.</w:t>
      </w:r>
      <w:r w:rsidR="00995817">
        <w:rPr>
          <w:rStyle w:val="EndnoteReference"/>
          <w:rFonts w:ascii="Sakkal Majalla" w:eastAsia="Times New Roman" w:hAnsi="Sakkal Majalla" w:cs="Sakkal Majalla"/>
          <w:color w:val="000000"/>
          <w:sz w:val="28"/>
          <w:szCs w:val="28"/>
          <w:rtl/>
        </w:rPr>
        <w:endnoteReference w:id="50"/>
      </w:r>
    </w:p>
    <w:p w:rsidR="00B274B3"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 xml:space="preserve">فضلا عن هذا فإن للهيئة منهج الإفتاء التي قد أفصح بها الكياهي معروف أمين الحاج-رئيس مجلس العلماء الإندونيسي والهيئة الشرعية الوطنية سابقا- عند افتتاح الاجتماع السنوي سنة 2020م، </w:t>
      </w:r>
      <w:r w:rsidRPr="00E74E34">
        <w:rPr>
          <w:rFonts w:ascii="Sakkal Majalla" w:eastAsia="Times New Roman" w:hAnsi="Sakkal Majalla" w:cs="Sakkal Majalla" w:hint="cs"/>
          <w:color w:val="000000"/>
          <w:sz w:val="28"/>
          <w:szCs w:val="28"/>
          <w:rtl/>
          <w:lang w:bidi="ar-EG"/>
        </w:rPr>
        <w:lastRenderedPageBreak/>
        <w:t>وأهم هذه القاعدة أربع،</w:t>
      </w:r>
      <w:r w:rsidR="00995817">
        <w:rPr>
          <w:rStyle w:val="EndnoteReference"/>
          <w:rFonts w:ascii="Sakkal Majalla" w:eastAsia="Times New Roman" w:hAnsi="Sakkal Majalla" w:cs="Sakkal Majalla"/>
          <w:color w:val="000000"/>
          <w:sz w:val="28"/>
          <w:szCs w:val="28"/>
          <w:rtl/>
          <w:lang w:bidi="ar-EG"/>
        </w:rPr>
        <w:endnoteReference w:id="51"/>
      </w:r>
      <w:r w:rsidRPr="00E74E34">
        <w:rPr>
          <w:rFonts w:ascii="Sakkal Majalla" w:eastAsia="Times New Roman" w:hAnsi="Sakkal Majalla" w:cs="Sakkal Majalla" w:hint="cs"/>
          <w:color w:val="000000"/>
          <w:sz w:val="28"/>
          <w:szCs w:val="28"/>
          <w:rtl/>
          <w:lang w:bidi="ar-EG"/>
        </w:rPr>
        <w:t xml:space="preserve"> وهي: </w:t>
      </w:r>
      <w:r w:rsidRPr="00E74E34">
        <w:rPr>
          <w:rFonts w:ascii="Sakkal Majalla" w:eastAsia="Times New Roman" w:hAnsi="Sakkal Majalla" w:cs="Sakkal Majalla" w:hint="cs"/>
          <w:b/>
          <w:bCs/>
          <w:color w:val="000000"/>
          <w:sz w:val="28"/>
          <w:szCs w:val="28"/>
          <w:rtl/>
          <w:lang w:bidi="ar-EG"/>
        </w:rPr>
        <w:t>الأولى: التيسير المنهجي</w:t>
      </w:r>
      <w:r w:rsidRPr="00E74E34">
        <w:rPr>
          <w:rFonts w:ascii="Sakkal Majalla" w:eastAsia="Times New Roman" w:hAnsi="Sakkal Majalla" w:cs="Sakkal Majalla" w:hint="cs"/>
          <w:b/>
          <w:bCs/>
          <w:color w:val="000000"/>
          <w:sz w:val="28"/>
          <w:szCs w:val="28"/>
          <w:lang w:bidi="ar-EG"/>
        </w:rPr>
        <w:t xml:space="preserve"> </w:t>
      </w:r>
      <w:r w:rsidRPr="00E74E34">
        <w:rPr>
          <w:rFonts w:ascii="Sakkal Majalla" w:hAnsi="Sakkal Majalla" w:cs="Sakkal Majalla" w:hint="cs"/>
          <w:sz w:val="28"/>
          <w:szCs w:val="28"/>
          <w:rtl/>
        </w:rPr>
        <w:t>وهو اختيار أيسر المذاهب وأسهلها مع مراعاة منهجية إثبات الحكم، فلأجل تطبيق هذه القاعدة فإن العلماء في الهيئة الشرعية الوطنية جعلوا قاعدة: "الأخذ بأرجح الأقوال والأصلح إن أمكن وإلا فالأصلح".</w:t>
      </w:r>
      <w:r w:rsidR="00995817">
        <w:rPr>
          <w:rStyle w:val="EndnoteReference"/>
          <w:rFonts w:ascii="Sakkal Majalla" w:hAnsi="Sakkal Majalla" w:cs="Sakkal Majalla"/>
          <w:sz w:val="28"/>
          <w:szCs w:val="28"/>
          <w:rtl/>
        </w:rPr>
        <w:endnoteReference w:id="52"/>
      </w:r>
      <w:r w:rsidRPr="00E74E34">
        <w:rPr>
          <w:rFonts w:ascii="Sakkal Majalla" w:hAnsi="Sakkal Majalla" w:cs="Sakkal Majalla" w:hint="cs"/>
          <w:sz w:val="28"/>
          <w:szCs w:val="28"/>
          <w:rtl/>
        </w:rPr>
        <w:t xml:space="preserve"> أي اختيار أرجح المذاهب وأصلحها وإن لم يمكن ذلك فأصلح المذاهب.</w:t>
      </w:r>
      <w:r w:rsidRPr="00E74E34">
        <w:rPr>
          <w:rFonts w:ascii="Sakkal Majalla" w:hAnsi="Sakkal Majalla" w:cs="Sakkal Majalla" w:hint="cs"/>
          <w:sz w:val="28"/>
          <w:szCs w:val="28"/>
        </w:rPr>
        <w:t xml:space="preserve"> </w:t>
      </w:r>
      <w:r w:rsidRPr="00E74E34">
        <w:rPr>
          <w:rFonts w:ascii="Sakkal Majalla" w:hAnsi="Sakkal Majalla" w:cs="Sakkal Majalla" w:hint="cs"/>
          <w:b/>
          <w:bCs/>
          <w:sz w:val="28"/>
          <w:szCs w:val="28"/>
          <w:rtl/>
        </w:rPr>
        <w:t>الثانية: تفريق الحلال عن الحرام</w:t>
      </w:r>
      <w:r w:rsidRPr="00E74E34">
        <w:rPr>
          <w:rFonts w:ascii="Sakkal Majalla" w:eastAsia="Times New Roman" w:hAnsi="Sakkal Majalla" w:cs="Sakkal Majalla" w:hint="cs"/>
          <w:b/>
          <w:bCs/>
          <w:color w:val="000000"/>
          <w:sz w:val="28"/>
          <w:szCs w:val="28"/>
          <w:rtl/>
          <w:lang w:bidi="ar-EG"/>
        </w:rPr>
        <w:t xml:space="preserve">،  </w:t>
      </w:r>
      <w:r w:rsidRPr="00E74E34">
        <w:rPr>
          <w:rFonts w:ascii="Sakkal Majalla" w:hAnsi="Sakkal Majalla" w:cs="Sakkal Majalla" w:hint="cs"/>
          <w:sz w:val="28"/>
          <w:szCs w:val="28"/>
          <w:rtl/>
        </w:rPr>
        <w:t>أي إذا اجتمع المال الحلال والمال الحرام لا يحكم بتغليب الحرام كله؛ لأنه يمكن تفريقها عن طريقة المحاسبة المالية، فالحلال باق على حلاله والحرام باق على حرامه.</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hAnsi="Sakkal Majalla" w:cs="Sakkal Majalla" w:hint="cs"/>
          <w:b/>
          <w:bCs/>
          <w:sz w:val="28"/>
          <w:szCs w:val="28"/>
          <w:rtl/>
        </w:rPr>
        <w:t xml:space="preserve">الثالثة: إعادة النظر </w:t>
      </w:r>
      <w:r w:rsidRPr="00E74E34">
        <w:rPr>
          <w:rFonts w:ascii="Sakkal Majalla" w:hAnsi="Sakkal Majalla" w:cs="Sakkal Majalla" w:hint="cs"/>
          <w:sz w:val="28"/>
          <w:szCs w:val="28"/>
          <w:rtl/>
        </w:rPr>
        <w:t>أي إعادة النظر في أقوال العلماء المتقدمين التي لا تصلح لهذا الزمان إما لأجل التعسر أو تعذر العمل أو صعوبة العمل. ومنها إعادة النظر في القول المعتمد والأخذ بالقول المرجوح، وذلك إما بسبب تغير علة الحكم أو أن القول المرجوح أصلح للأمة</w:t>
      </w:r>
      <w:r w:rsidRPr="00E74E34">
        <w:rPr>
          <w:rFonts w:ascii="Sakkal Majalla" w:hAnsi="Sakkal Majalla" w:cs="Sakkal Majalla" w:hint="cs"/>
          <w:sz w:val="28"/>
          <w:szCs w:val="28"/>
        </w:rPr>
        <w:t>.</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hAnsi="Sakkal Majalla" w:cs="Sakkal Majalla" w:hint="cs"/>
          <w:b/>
          <w:bCs/>
          <w:sz w:val="28"/>
          <w:szCs w:val="28"/>
          <w:rtl/>
        </w:rPr>
        <w:t>الرابعة: تحقيق المناط</w:t>
      </w:r>
      <w:r w:rsidRPr="00E74E34">
        <w:rPr>
          <w:rFonts w:ascii="Sakkal Majalla" w:eastAsia="Times New Roman" w:hAnsi="Sakkal Majalla" w:cs="Sakkal Majalla" w:hint="cs"/>
          <w:color w:val="000000"/>
          <w:sz w:val="28"/>
          <w:szCs w:val="28"/>
          <w:rtl/>
          <w:lang w:bidi="ar-EG"/>
        </w:rPr>
        <w:t xml:space="preserve"> </w:t>
      </w:r>
      <w:r w:rsidRPr="00E74E34">
        <w:rPr>
          <w:rFonts w:ascii="Sakkal Majalla" w:hAnsi="Sakkal Majalla" w:cs="Sakkal Majalla" w:hint="cs"/>
          <w:sz w:val="28"/>
          <w:szCs w:val="28"/>
          <w:rtl/>
        </w:rPr>
        <w:t>وهو النظر في علة الحكم في مسألة بعد معرفتها في غيرها عن طريق مسالك العلة، والبحث عن صلاحيتها من عدمها لوجود تغير العلة.</w:t>
      </w:r>
      <w:r w:rsidR="00995817">
        <w:rPr>
          <w:rStyle w:val="EndnoteReference"/>
          <w:rFonts w:ascii="Sakkal Majalla" w:hAnsi="Sakkal Majalla" w:cs="Sakkal Majalla"/>
          <w:sz w:val="28"/>
          <w:szCs w:val="28"/>
          <w:rtl/>
        </w:rPr>
        <w:endnoteReference w:id="53"/>
      </w:r>
    </w:p>
    <w:p w:rsidR="00E52F0F" w:rsidRPr="00E74E34" w:rsidRDefault="00E52F0F" w:rsidP="0056049F">
      <w:pPr>
        <w:bidi/>
        <w:spacing w:before="240" w:after="0" w:line="360" w:lineRule="auto"/>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b/>
          <w:bCs/>
          <w:color w:val="000000"/>
          <w:sz w:val="28"/>
          <w:szCs w:val="28"/>
          <w:rtl/>
        </w:rPr>
        <w:t xml:space="preserve">مفهوم </w:t>
      </w:r>
      <w:r w:rsidRPr="00E74E34">
        <w:rPr>
          <w:rFonts w:ascii="Sakkal Majalla" w:eastAsia="Times New Roman" w:hAnsi="Sakkal Majalla" w:cs="Sakkal Majalla" w:hint="cs"/>
          <w:b/>
          <w:bCs/>
          <w:color w:val="000000"/>
          <w:sz w:val="28"/>
          <w:szCs w:val="28"/>
          <w:rtl/>
          <w:lang w:bidi="ar-EG"/>
        </w:rPr>
        <w:t xml:space="preserve">القاعدة </w:t>
      </w:r>
      <w:r w:rsidRPr="00E74E34">
        <w:rPr>
          <w:rFonts w:ascii="Sakkal Majalla" w:eastAsia="Times New Roman" w:hAnsi="Sakkal Majalla" w:cs="Sakkal Majalla" w:hint="cs"/>
          <w:b/>
          <w:bCs/>
          <w:color w:val="000000"/>
          <w:sz w:val="28"/>
          <w:szCs w:val="28"/>
          <w:rtl/>
        </w:rPr>
        <w:t xml:space="preserve">أينما وجدت المصلحة فثم حكم الله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قاعدة أينما وجدت المصلحة فثم حكم الله يذكرها بعض العلماء من باب الإشارة إلى أن الشرع جاء بجلب المصالح وأن الشريعة وضعت لمص</w:t>
      </w:r>
      <w:r w:rsidRPr="00E74E34">
        <w:rPr>
          <w:rFonts w:ascii="Sakkal Majalla" w:eastAsia="Times New Roman" w:hAnsi="Sakkal Majalla" w:cs="Sakkal Majalla" w:hint="cs"/>
          <w:color w:val="000000"/>
          <w:sz w:val="28"/>
          <w:szCs w:val="28"/>
          <w:rtl/>
        </w:rPr>
        <w:t>ا</w:t>
      </w:r>
      <w:r w:rsidRPr="00E74E34">
        <w:rPr>
          <w:rFonts w:ascii="Sakkal Majalla" w:eastAsia="Times New Roman" w:hAnsi="Sakkal Majalla" w:cs="Sakkal Majalla" w:hint="cs"/>
          <w:color w:val="000000"/>
          <w:sz w:val="28"/>
          <w:szCs w:val="28"/>
          <w:rtl/>
          <w:lang w:bidi="ar-EG"/>
        </w:rPr>
        <w:t xml:space="preserve">لح العباد في </w:t>
      </w:r>
      <w:r w:rsidRPr="00E74E34">
        <w:rPr>
          <w:rFonts w:ascii="Sakkal Majalla" w:eastAsia="Times New Roman" w:hAnsi="Sakkal Majalla" w:cs="Sakkal Majalla" w:hint="cs"/>
          <w:color w:val="000000"/>
          <w:sz w:val="28"/>
          <w:szCs w:val="28"/>
          <w:rtl/>
          <w:lang w:bidi="ar-EG"/>
        </w:rPr>
        <w:lastRenderedPageBreak/>
        <w:t>الأولى والأخرة، فإذا وجدت مصلحة متحققة معتبرة شرعا، فإن الشرع جاء بتحصيلها</w:t>
      </w:r>
      <w:r w:rsidRPr="00E74E34">
        <w:rPr>
          <w:rFonts w:ascii="Sakkal Majalla" w:eastAsia="Times New Roman" w:hAnsi="Sakkal Majalla" w:cs="Sakkal Majalla" w:hint="cs"/>
          <w:color w:val="000000"/>
          <w:sz w:val="28"/>
          <w:szCs w:val="28"/>
          <w:rtl/>
        </w:rPr>
        <w:t>.</w:t>
      </w:r>
      <w:r w:rsidR="00995817">
        <w:rPr>
          <w:rStyle w:val="EndnoteReference"/>
          <w:rFonts w:ascii="Sakkal Majalla" w:eastAsia="Times New Roman" w:hAnsi="Sakkal Majalla" w:cs="Sakkal Majalla"/>
          <w:color w:val="000000"/>
          <w:sz w:val="28"/>
          <w:szCs w:val="28"/>
          <w:rtl/>
        </w:rPr>
        <w:endnoteReference w:id="54"/>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اختلف العلماء في</w:t>
      </w:r>
      <w:r w:rsidRPr="00E74E34">
        <w:rPr>
          <w:rFonts w:ascii="Sakkal Majalla" w:eastAsia="Times New Roman" w:hAnsi="Sakkal Majalla" w:cs="Sakkal Majalla" w:hint="cs"/>
          <w:color w:val="000000"/>
          <w:sz w:val="28"/>
          <w:szCs w:val="28"/>
          <w:rtl/>
        </w:rPr>
        <w:t xml:space="preserve"> مناسبة</w:t>
      </w:r>
      <w:r w:rsidRPr="00E74E34">
        <w:rPr>
          <w:rFonts w:ascii="Sakkal Majalla" w:eastAsia="Times New Roman" w:hAnsi="Sakkal Majalla" w:cs="Sakkal Majalla" w:hint="cs"/>
          <w:color w:val="000000"/>
          <w:sz w:val="28"/>
          <w:szCs w:val="28"/>
          <w:rtl/>
          <w:lang w:bidi="ar-EG"/>
        </w:rPr>
        <w:t xml:space="preserve"> هذه العبارة، بعضهم يقول أن المناسب هو حيثما وجد شرع الله فثمت المصلحة، قال الشاطبي في كتابه الموافقات "ولكن استخدمت هذه من قبل كثير من الجهلة وأهل الأهواء"؛ كالعلمانيين وغيرهم وضعوها في غير الموضع الذي عناه بها العلماء، واستغلوها في رد النصوص الشرعية المخالفة لهواهم وردوا كونها من الشرع بحجة أنها تتعارض مع المصلحة، وأنه حيثما كانت المصلحة فثم شرع الله، ومن ذلك أنهم استحلوا الربا بحجة أن فيه مصلحة للاقتصاد، واستحلوا كثيرا من البيوع المحرمة بحجة وجود المصلحة فيها.</w:t>
      </w:r>
      <w:r w:rsidR="00995817">
        <w:rPr>
          <w:rStyle w:val="EndnoteReference"/>
          <w:rFonts w:ascii="Sakkal Majalla" w:eastAsia="Times New Roman" w:hAnsi="Sakkal Majalla" w:cs="Sakkal Majalla"/>
          <w:color w:val="000000"/>
          <w:sz w:val="28"/>
          <w:szCs w:val="28"/>
          <w:rtl/>
          <w:lang w:bidi="ar-EG"/>
        </w:rPr>
        <w:endnoteReference w:id="55"/>
      </w:r>
    </w:p>
    <w:p w:rsidR="00E52F0F"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أما مار</w:t>
      </w:r>
      <w:r w:rsidRPr="00E74E34">
        <w:rPr>
          <w:rFonts w:ascii="Sakkal Majalla" w:eastAsia="Times New Roman" w:hAnsi="Sakkal Majalla" w:cs="Sakkal Majalla" w:hint="cs"/>
          <w:color w:val="000000"/>
          <w:sz w:val="28"/>
          <w:szCs w:val="28"/>
          <w:rtl/>
        </w:rPr>
        <w:t>ء</w:t>
      </w:r>
      <w:r w:rsidRPr="00E74E34">
        <w:rPr>
          <w:rFonts w:ascii="Sakkal Majalla" w:eastAsia="Times New Roman" w:hAnsi="Sakkal Majalla" w:cs="Sakkal Majalla" w:hint="cs"/>
          <w:color w:val="000000"/>
          <w:sz w:val="28"/>
          <w:szCs w:val="28"/>
          <w:rtl/>
          <w:lang w:bidi="ar-EG"/>
        </w:rPr>
        <w:t>اه يوسف القرضاوي هو أن هذه القاعدة لا تؤخذ على إطلاقها، إنما تقبل فيها لم يحكم فيه نص صحيح صريح، وهذا مجال المصلحة التي عرفت لدى الأصليين بـ"المصلحة المرسلة".</w:t>
      </w:r>
      <w:r w:rsidR="00995817">
        <w:rPr>
          <w:lang w:val="en-US"/>
        </w:rPr>
        <w:t xml:space="preserve"> </w:t>
      </w:r>
      <w:r w:rsidR="00995817">
        <w:rPr>
          <w:rStyle w:val="EndnoteReference"/>
          <w:lang w:val="en-US"/>
        </w:rPr>
        <w:endnoteReference w:id="56"/>
      </w:r>
      <w:r w:rsidRPr="00E74E34">
        <w:rPr>
          <w:rFonts w:ascii="Sakkal Majalla" w:eastAsia="Times New Roman" w:hAnsi="Sakkal Majalla" w:cs="Sakkal Majalla" w:hint="cs"/>
          <w:color w:val="000000"/>
          <w:sz w:val="28"/>
          <w:szCs w:val="28"/>
          <w:rtl/>
          <w:lang w:bidi="ar-EG"/>
        </w:rPr>
        <w:t xml:space="preserve">وقد بين الباحث عن هذا كذلك ضوابط المصلحة. وأكد بعضهم على هذا، حيث قال: "حيث توجد المصلحة فثم شرع الله، فهذا صحيح فيما سكت عنه الشارع، وتركه لاجتهادنا وعقولنا. أما فيما عدا ذلك فالصواب أن نقول: حيث يوجد شرع الله فثم المصلحة. ومثله قول سفر الحوالي: قال بعض العلماء: حيثما كانت المصلحة </w:t>
      </w:r>
      <w:r w:rsidRPr="00E74E34">
        <w:rPr>
          <w:rFonts w:ascii="Sakkal Majalla" w:eastAsia="Times New Roman" w:hAnsi="Sakkal Majalla" w:cs="Sakkal Majalla" w:hint="cs"/>
          <w:color w:val="000000"/>
          <w:sz w:val="28"/>
          <w:szCs w:val="28"/>
          <w:rtl/>
          <w:lang w:bidi="ar-EG"/>
        </w:rPr>
        <w:lastRenderedPageBreak/>
        <w:t>فثم شرع الله، وليس معنى هذا أن يتلاعب بالدين باسم المصلحة، فما نص الشرع على تحريمه فهو مفسدة لا مصلحة فيه بحال، ولكن المراد بهذا ماكان من الأمور المتغيرة المتجددة الحادثة، واجتهد من له الحق في الاجتهاد في ذلك مصلحة فثم شرع الله.</w:t>
      </w:r>
      <w:r w:rsidR="00995817">
        <w:rPr>
          <w:rStyle w:val="EndnoteReference"/>
          <w:rFonts w:ascii="Sakkal Majalla" w:eastAsia="Times New Roman" w:hAnsi="Sakkal Majalla" w:cs="Sakkal Majalla"/>
          <w:color w:val="000000"/>
          <w:sz w:val="28"/>
          <w:szCs w:val="28"/>
          <w:rtl/>
          <w:lang w:bidi="ar-EG"/>
        </w:rPr>
        <w:endnoteReference w:id="57"/>
      </w:r>
    </w:p>
    <w:p w:rsidR="00E52F0F" w:rsidRPr="00E74E34" w:rsidRDefault="00E52F0F" w:rsidP="0056049F">
      <w:pPr>
        <w:bidi/>
        <w:spacing w:before="240" w:after="0" w:line="360" w:lineRule="auto"/>
        <w:jc w:val="both"/>
        <w:rPr>
          <w:rFonts w:ascii="Sakkal Majalla" w:eastAsia="Times New Roman" w:hAnsi="Sakkal Majalla" w:cs="Sakkal Majalla"/>
          <w:b/>
          <w:bCs/>
          <w:color w:val="000000"/>
          <w:sz w:val="28"/>
          <w:szCs w:val="28"/>
          <w:rtl/>
        </w:rPr>
      </w:pPr>
      <w:r w:rsidRPr="00E74E34">
        <w:rPr>
          <w:rFonts w:ascii="Sakkal Majalla" w:eastAsia="Times New Roman" w:hAnsi="Sakkal Majalla" w:cs="Sakkal Majalla" w:hint="cs"/>
          <w:b/>
          <w:bCs/>
          <w:color w:val="000000"/>
          <w:sz w:val="28"/>
          <w:szCs w:val="28"/>
          <w:rtl/>
        </w:rPr>
        <w:t xml:space="preserve">تطبيق القاعدة في فتاوى الهيئة الشرعية الوطنية </w:t>
      </w:r>
    </w:p>
    <w:p w:rsidR="00B274B3" w:rsidRDefault="00E52F0F" w:rsidP="0056049F">
      <w:pPr>
        <w:bidi/>
        <w:spacing w:before="240" w:after="0" w:line="360" w:lineRule="auto"/>
        <w:ind w:firstLine="720"/>
        <w:jc w:val="both"/>
        <w:rPr>
          <w:rFonts w:ascii="Sakkal Majalla" w:eastAsia="Times New Roman" w:hAnsi="Sakkal Majalla" w:cs="Sakkal Majalla"/>
          <w:color w:val="000000"/>
          <w:sz w:val="28"/>
          <w:szCs w:val="28"/>
        </w:rPr>
      </w:pPr>
      <w:r w:rsidRPr="00E74E34">
        <w:rPr>
          <w:rFonts w:ascii="Sakkal Majalla" w:eastAsia="Times New Roman" w:hAnsi="Sakkal Majalla" w:cs="Sakkal Majalla" w:hint="cs"/>
          <w:color w:val="000000"/>
          <w:sz w:val="28"/>
          <w:szCs w:val="28"/>
          <w:rtl/>
        </w:rPr>
        <w:t>هذه القاعدة قد اختلف العلماء فيه إلا أنهم اتفقوا في أنها خاصة للأمور التي لم يرد فيها نص أو ما يسمى بـ"المصلحة المرسلة". قاعدة أينما وجدت المصلحة فثم حكم الله تكون</w:t>
      </w:r>
      <w:r w:rsidRPr="00E74E34">
        <w:rPr>
          <w:rFonts w:ascii="Sakkal Majalla" w:eastAsia="Times New Roman" w:hAnsi="Sakkal Majalla" w:cs="Sakkal Majalla" w:hint="cs"/>
          <w:color w:val="000000"/>
          <w:sz w:val="28"/>
          <w:szCs w:val="28"/>
        </w:rPr>
        <w:t xml:space="preserve"> </w:t>
      </w:r>
      <w:r w:rsidRPr="00E74E34">
        <w:rPr>
          <w:rFonts w:ascii="Sakkal Majalla" w:eastAsia="Times New Roman" w:hAnsi="Sakkal Majalla" w:cs="Sakkal Majalla" w:hint="cs"/>
          <w:color w:val="000000"/>
          <w:sz w:val="28"/>
          <w:szCs w:val="28"/>
          <w:rtl/>
        </w:rPr>
        <w:t>أساسا في إصدار فتاوى الهيئة الشرعية الوطنية لمجلس العلماء الإندونيسي وهي تذكر ثمانية وعشرون مرة، وهي ما يلي:</w:t>
      </w:r>
      <w:r w:rsidR="00995817">
        <w:rPr>
          <w:rStyle w:val="EndnoteReference"/>
          <w:rFonts w:ascii="Sakkal Majalla" w:eastAsia="Times New Roman" w:hAnsi="Sakkal Majalla" w:cs="Sakkal Majalla"/>
          <w:color w:val="000000"/>
          <w:sz w:val="28"/>
          <w:szCs w:val="28"/>
          <w:rtl/>
        </w:rPr>
        <w:endnoteReference w:id="58"/>
      </w:r>
    </w:p>
    <w:p w:rsidR="00B274B3" w:rsidRPr="00B274B3" w:rsidRDefault="00B274B3" w:rsidP="0056049F">
      <w:pPr>
        <w:bidi/>
        <w:spacing w:before="240" w:after="0" w:line="360" w:lineRule="auto"/>
        <w:jc w:val="center"/>
        <w:rPr>
          <w:rFonts w:ascii="Sakkal Majalla" w:eastAsia="Times New Roman" w:hAnsi="Sakkal Majalla" w:cs="Sakkal Majalla"/>
          <w:b/>
          <w:bCs/>
          <w:color w:val="000000"/>
          <w:sz w:val="28"/>
          <w:szCs w:val="28"/>
          <w:rtl/>
        </w:rPr>
      </w:pPr>
      <w:r w:rsidRPr="00B274B3">
        <w:rPr>
          <w:rFonts w:ascii="Sakkal Majalla" w:eastAsia="Times New Roman" w:hAnsi="Sakkal Majalla" w:cs="Sakkal Majalla" w:hint="cs"/>
          <w:b/>
          <w:bCs/>
          <w:color w:val="000000"/>
          <w:sz w:val="28"/>
          <w:szCs w:val="28"/>
          <w:rtl/>
        </w:rPr>
        <w:t>الجدول 1: الفتاوى المستنبط من القاعدة أينما وجدت المصلحة فثم حكم الله</w:t>
      </w:r>
    </w:p>
    <w:tbl>
      <w:tblPr>
        <w:bidiVisual/>
        <w:tblW w:w="44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79"/>
        <w:gridCol w:w="2654"/>
      </w:tblGrid>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jc w:val="center"/>
              <w:rPr>
                <w:rFonts w:ascii="Garamond" w:eastAsia="Times New Roman" w:hAnsi="Garamond" w:cs="Sakkal Majalla"/>
                <w:b/>
                <w:bCs/>
                <w:color w:val="000000"/>
                <w:sz w:val="24"/>
                <w:szCs w:val="24"/>
                <w:rtl/>
              </w:rPr>
            </w:pPr>
            <w:r w:rsidRPr="0056367D">
              <w:rPr>
                <w:rFonts w:ascii="Garamond" w:eastAsia="Times New Roman" w:hAnsi="Garamond" w:cs="Sakkal Majalla"/>
                <w:b/>
                <w:bCs/>
                <w:color w:val="000000"/>
                <w:sz w:val="28"/>
                <w:szCs w:val="28"/>
                <w:rtl/>
              </w:rPr>
              <w:t>رقم الفتوى</w:t>
            </w:r>
          </w:p>
        </w:tc>
        <w:tc>
          <w:tcPr>
            <w:tcW w:w="2654" w:type="dxa"/>
            <w:shd w:val="clear" w:color="auto" w:fill="auto"/>
            <w:vAlign w:val="center"/>
          </w:tcPr>
          <w:p w:rsidR="00E52F0F" w:rsidRPr="0056367D" w:rsidRDefault="00E52F0F" w:rsidP="0056049F">
            <w:pPr>
              <w:bidi/>
              <w:spacing w:before="240" w:after="0" w:line="360" w:lineRule="auto"/>
              <w:jc w:val="center"/>
              <w:rPr>
                <w:rFonts w:ascii="Sakkal Majalla" w:eastAsia="Times New Roman" w:hAnsi="Sakkal Majalla" w:cs="Sakkal Majalla"/>
                <w:b/>
                <w:bCs/>
                <w:color w:val="000000"/>
                <w:sz w:val="28"/>
                <w:szCs w:val="28"/>
                <w:rtl/>
              </w:rPr>
            </w:pPr>
            <w:r w:rsidRPr="0056367D">
              <w:rPr>
                <w:rFonts w:ascii="Sakkal Majalla" w:eastAsia="Times New Roman" w:hAnsi="Sakkal Majalla" w:cs="Sakkal Majalla" w:hint="cs"/>
                <w:b/>
                <w:bCs/>
                <w:color w:val="000000"/>
                <w:sz w:val="28"/>
                <w:szCs w:val="28"/>
                <w:rtl/>
              </w:rPr>
              <w:t>عنوان الفتوى</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NO:14/DSN-MUI/IX/2000</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نظام توزيع نتائج الأعمال في المؤسسات المالية الشرعية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NO:15/DSN-MUI/IX/2000</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مبادئ توزيع نتائج الأعمال في المؤسسات المالية الشرعية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NO:18/DSN-MUI/IX/2000</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 xml:space="preserve">حجز لتكسب خسائر الأصول في </w:t>
            </w:r>
            <w:r w:rsidRPr="0056367D">
              <w:rPr>
                <w:rFonts w:ascii="Sakkal Majalla" w:eastAsia="Times New Roman" w:hAnsi="Sakkal Majalla" w:cs="Sakkal Majalla" w:hint="cs"/>
                <w:color w:val="000000"/>
                <w:sz w:val="28"/>
                <w:szCs w:val="28"/>
                <w:rtl/>
              </w:rPr>
              <w:lastRenderedPageBreak/>
              <w:t>المؤسسات المالية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lastRenderedPageBreak/>
              <w:t>NO:27/DSN-MUI/III/2002</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الإجارة المنتهية بالتمليك</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NO:34/DSN-MUI/IX/2002</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خطاب الاعتماد</w:t>
            </w:r>
            <w:r w:rsidRPr="0056367D">
              <w:rPr>
                <w:rFonts w:ascii="Sakkal Majalla" w:eastAsia="Times New Roman" w:hAnsi="Sakkal Majalla" w:cs="Sakkal Majalla" w:hint="cs"/>
                <w:color w:val="000000"/>
                <w:sz w:val="28"/>
                <w:szCs w:val="28"/>
              </w:rPr>
              <w:t xml:space="preserve"> </w:t>
            </w:r>
            <w:r w:rsidRPr="0056367D">
              <w:rPr>
                <w:rFonts w:ascii="Sakkal Majalla" w:eastAsia="Times New Roman" w:hAnsi="Sakkal Majalla" w:cs="Sakkal Majalla" w:hint="cs"/>
                <w:color w:val="000000"/>
                <w:sz w:val="28"/>
                <w:szCs w:val="28"/>
                <w:rtl/>
              </w:rPr>
              <w:t>استيراد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NO:35/DSN-MUI/IX/2002</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خطاب الاعتماد للصادرات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NO:41/DSN-MUI/III/2004</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Pr>
            </w:pPr>
            <w:r w:rsidRPr="0056367D">
              <w:rPr>
                <w:rFonts w:ascii="Sakkal Majalla" w:eastAsia="Times New Roman" w:hAnsi="Sakkal Majalla" w:cs="Sakkal Majalla" w:hint="cs"/>
                <w:color w:val="000000"/>
                <w:sz w:val="28"/>
                <w:szCs w:val="28"/>
                <w:rtl/>
              </w:rPr>
              <w:t>إجارة السندات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NO:60/DSN-MUI/V/2007</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تسوية المدينين في التصدير</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NO:61/DSN-MUI/V/2007</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تسوية الديون في الاستيراد</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NO:67/DSN-MUI/III/2008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التخصيم</w:t>
            </w:r>
            <w:r w:rsidRPr="0056367D">
              <w:rPr>
                <w:rFonts w:ascii="Sakkal Majalla" w:eastAsia="Times New Roman" w:hAnsi="Sakkal Majalla" w:cs="Sakkal Majalla" w:hint="cs"/>
                <w:color w:val="000000"/>
                <w:sz w:val="28"/>
                <w:szCs w:val="28"/>
              </w:rPr>
              <w:t xml:space="preserve"> </w:t>
            </w:r>
            <w:r w:rsidRPr="0056367D">
              <w:rPr>
                <w:rFonts w:ascii="Sakkal Majalla" w:eastAsia="Times New Roman" w:hAnsi="Sakkal Majalla" w:cs="Sakkal Majalla" w:hint="cs"/>
                <w:color w:val="000000"/>
                <w:sz w:val="28"/>
                <w:szCs w:val="28"/>
                <w:rtl/>
              </w:rPr>
              <w:t xml:space="preserve"> الإسلامي</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NO:85/DSN-MUI/XII/2012</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وعد في المعاملة المالية والتجارية الإسلامية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NO:87/DSN-MUI/XII/2012</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طريقة تسوية دخل صندوق الطرف الثالث</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t>NO:94/DSN-MUI/IV/2014</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إعادة بيع السندات الشريعة (</w:t>
            </w:r>
            <w:r w:rsidRPr="0056367D">
              <w:rPr>
                <w:rFonts w:ascii="Sakkal Majalla" w:eastAsia="Times New Roman" w:hAnsi="Sakkal Majalla" w:cs="Sakkal Majalla" w:hint="cs"/>
                <w:color w:val="000000"/>
                <w:sz w:val="28"/>
                <w:szCs w:val="28"/>
              </w:rPr>
              <w:t>SBSN</w:t>
            </w:r>
            <w:r w:rsidRPr="0056367D">
              <w:rPr>
                <w:rFonts w:ascii="Sakkal Majalla" w:eastAsia="Times New Roman" w:hAnsi="Sakkal Majalla" w:cs="Sakkal Majalla" w:hint="cs"/>
                <w:color w:val="000000"/>
                <w:sz w:val="28"/>
                <w:szCs w:val="28"/>
                <w:rtl/>
              </w:rPr>
              <w:t xml:space="preserve">) </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hAnsi="Garamond" w:cs="Sakkal Majalla"/>
                <w:sz w:val="24"/>
                <w:szCs w:val="24"/>
              </w:rPr>
              <w:lastRenderedPageBreak/>
              <w:t>NO:96/DSN-MUI/IV/2015</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معاملات التحوط الإسلامي</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NO:98/DSN-MUI/XII/2015</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مبادئ توجيهية لتطبيق ال</w:t>
            </w:r>
            <w:r w:rsidRPr="0056367D">
              <w:rPr>
                <w:rFonts w:ascii="Sakkal Majalla" w:eastAsia="Times New Roman" w:hAnsi="Sakkal Majalla" w:cs="Sakkal Majalla" w:hint="cs"/>
                <w:color w:val="000000"/>
                <w:sz w:val="28"/>
                <w:szCs w:val="28"/>
                <w:rtl/>
                <w:lang w:bidi="ar-EG"/>
              </w:rPr>
              <w:t>ضمان</w:t>
            </w:r>
            <w:r w:rsidRPr="0056367D">
              <w:rPr>
                <w:rFonts w:ascii="Sakkal Majalla" w:eastAsia="Times New Roman" w:hAnsi="Sakkal Majalla" w:cs="Sakkal Majalla" w:hint="cs"/>
                <w:color w:val="000000"/>
                <w:sz w:val="28"/>
                <w:szCs w:val="28"/>
                <w:rtl/>
              </w:rPr>
              <w:t xml:space="preserve"> الاجتماعي الصحي الشرعي</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NO:114/DSN-MUI/IX/2017</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عقد الشركة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NO.116/DSN-MUI/IX/2017</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lang w:bidi="ar-EG"/>
              </w:rPr>
              <w:t>النقود الإلكترونية الإسلامية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NO:117/DSN-MUI/II/2018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Pr>
            </w:pPr>
            <w:r w:rsidRPr="0056367D">
              <w:rPr>
                <w:rFonts w:ascii="Sakkal Majalla" w:eastAsia="Times New Roman" w:hAnsi="Sakkal Majalla" w:cs="Sakkal Majalla" w:hint="cs"/>
                <w:color w:val="000000"/>
                <w:sz w:val="28"/>
                <w:szCs w:val="28"/>
                <w:rtl/>
              </w:rPr>
              <w:t>خدمات التمويل القائمة على تكنولوجيا المعلومات على أساس مبادئ الشريعة الإسلامية</w:t>
            </w:r>
          </w:p>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NO:119/DSN-MUI/II/2018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التمويل للحاجة المتناهيات الصغرى</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NO:122/DSN-MUI/II/2018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إدارة الصندوق تكلفة أداء فريضة الحج</w:t>
            </w:r>
            <w:r w:rsidRPr="0056367D">
              <w:rPr>
                <w:rFonts w:ascii="Sakkal Majalla" w:eastAsia="Times New Roman" w:hAnsi="Sakkal Majalla" w:cs="Sakkal Majalla" w:hint="cs"/>
                <w:color w:val="000000"/>
                <w:sz w:val="28"/>
                <w:szCs w:val="28"/>
              </w:rPr>
              <w:t xml:space="preserve"> </w:t>
            </w:r>
            <w:r w:rsidRPr="0056367D">
              <w:rPr>
                <w:rFonts w:ascii="Sakkal Majalla" w:eastAsia="Times New Roman" w:hAnsi="Sakkal Majalla" w:cs="Sakkal Majalla" w:hint="cs"/>
                <w:color w:val="000000"/>
                <w:sz w:val="28"/>
                <w:szCs w:val="28"/>
                <w:rtl/>
              </w:rPr>
              <w:t xml:space="preserve"> على أساس الشريعة </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NO:123/DSN-MUI/XI/2018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lang w:bidi="ar-EG"/>
              </w:rPr>
              <w:t xml:space="preserve">استخدام الأموال لا ينبغي الاعتراف بها كدخل للمؤسسة المالية الإسلامية والمؤسسة </w:t>
            </w:r>
            <w:r w:rsidRPr="0056367D">
              <w:rPr>
                <w:rFonts w:ascii="Sakkal Majalla" w:eastAsia="Times New Roman" w:hAnsi="Sakkal Majalla" w:cs="Sakkal Majalla" w:hint="cs"/>
                <w:color w:val="000000"/>
                <w:sz w:val="28"/>
                <w:szCs w:val="28"/>
                <w:rtl/>
                <w:lang w:bidi="ar-EG"/>
              </w:rPr>
              <w:lastRenderedPageBreak/>
              <w:t>التجارية الإسلامية والمؤسسة الاقتصادية الإسلامية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lastRenderedPageBreak/>
              <w:t>NO:125/DSN-MUI/XI/2018</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عقد الاستثمار الجماعي - الأوراق المالية المدعومة بالأصول على أساس مبادئ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NO:126/DSN-MUI/VII/2019</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عقد الوكالة بالإستثمار</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NO:130/DSN-MUI/X/2019</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المبادئ التوجيهية لمؤسسات ضمان الودائع في تنفيذ معالجة أو تسوية البنوك الشرعية التي لديها مشاكل في التسوية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NO:131/DSN-MUI/X/2019</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وقف السندات</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tl/>
              </w:rPr>
            </w:pPr>
            <w:r w:rsidRPr="0056367D">
              <w:rPr>
                <w:rFonts w:ascii="Garamond" w:eastAsia="Times New Roman" w:hAnsi="Garamond" w:cs="Sakkal Majalla"/>
                <w:color w:val="000000"/>
                <w:sz w:val="24"/>
                <w:szCs w:val="24"/>
              </w:rPr>
              <w:t>NO:132/DSN-MUI/X/2019</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المقصة الشريعة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NO:140/DSN-MUI/VIII/2021</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تقديم الأوراق المالية الشرعية من خلال خدمات التكدس القائمة على تقنية المعلومات القائمة على مبادئ الشريعة (التمويل الجماعي للأوراق المالية الإسلامية)</w:t>
            </w:r>
          </w:p>
        </w:tc>
      </w:tr>
      <w:tr w:rsidR="00E52F0F" w:rsidRPr="0056367D" w:rsidTr="0056367D">
        <w:tc>
          <w:tcPr>
            <w:tcW w:w="1779" w:type="dxa"/>
            <w:shd w:val="clear" w:color="auto" w:fill="auto"/>
            <w:vAlign w:val="center"/>
          </w:tcPr>
          <w:p w:rsidR="00E52F0F" w:rsidRPr="0056367D" w:rsidRDefault="00E52F0F" w:rsidP="0056049F">
            <w:pPr>
              <w:bidi/>
              <w:spacing w:before="240" w:after="0" w:line="360" w:lineRule="auto"/>
              <w:rPr>
                <w:rFonts w:ascii="Garamond" w:eastAsia="Times New Roman" w:hAnsi="Garamond" w:cs="Sakkal Majalla"/>
                <w:color w:val="000000"/>
                <w:sz w:val="24"/>
                <w:szCs w:val="24"/>
              </w:rPr>
            </w:pPr>
            <w:r w:rsidRPr="0056367D">
              <w:rPr>
                <w:rFonts w:ascii="Garamond" w:eastAsia="Times New Roman" w:hAnsi="Garamond" w:cs="Sakkal Majalla"/>
                <w:color w:val="000000"/>
                <w:sz w:val="24"/>
                <w:szCs w:val="24"/>
              </w:rPr>
              <w:t>NO:141/DSN-</w:t>
            </w:r>
            <w:r w:rsidRPr="0056367D">
              <w:rPr>
                <w:rFonts w:ascii="Garamond" w:eastAsia="Times New Roman" w:hAnsi="Garamond" w:cs="Sakkal Majalla"/>
                <w:color w:val="000000"/>
                <w:sz w:val="24"/>
                <w:szCs w:val="24"/>
              </w:rPr>
              <w:lastRenderedPageBreak/>
              <w:t>MUI/VIII/2021</w:t>
            </w:r>
          </w:p>
        </w:tc>
        <w:tc>
          <w:tcPr>
            <w:tcW w:w="2654" w:type="dxa"/>
            <w:shd w:val="clear" w:color="auto" w:fill="auto"/>
            <w:vAlign w:val="center"/>
          </w:tcPr>
          <w:p w:rsidR="00E52F0F" w:rsidRPr="0056367D" w:rsidRDefault="00E52F0F" w:rsidP="0056049F">
            <w:pPr>
              <w:bidi/>
              <w:spacing w:before="240" w:after="0" w:line="360" w:lineRule="auto"/>
              <w:rPr>
                <w:rFonts w:ascii="Sakkal Majalla" w:eastAsia="Times New Roman" w:hAnsi="Sakkal Majalla" w:cs="Sakkal Majalla"/>
                <w:color w:val="000000"/>
                <w:sz w:val="28"/>
                <w:szCs w:val="28"/>
                <w:rtl/>
              </w:rPr>
            </w:pPr>
            <w:r w:rsidRPr="0056367D">
              <w:rPr>
                <w:rFonts w:ascii="Sakkal Majalla" w:eastAsia="Times New Roman" w:hAnsi="Sakkal Majalla" w:cs="Sakkal Majalla" w:hint="cs"/>
                <w:color w:val="000000"/>
                <w:sz w:val="28"/>
                <w:szCs w:val="28"/>
                <w:rtl/>
              </w:rPr>
              <w:t>المبادئ التوجيهية لإنشاء وعملية النقابة التعاونية الإسلامية</w:t>
            </w:r>
          </w:p>
        </w:tc>
      </w:tr>
    </w:tbl>
    <w:p w:rsidR="00B274B3" w:rsidRPr="0056049F" w:rsidRDefault="00B274B3" w:rsidP="0056049F">
      <w:pPr>
        <w:bidi/>
        <w:spacing w:before="240" w:after="0" w:line="360" w:lineRule="auto"/>
        <w:jc w:val="both"/>
        <w:rPr>
          <w:rFonts w:ascii="Sakkal Majalla" w:eastAsia="Times New Roman" w:hAnsi="Sakkal Majalla" w:cs="Sakkal Majalla"/>
          <w:b/>
          <w:bCs/>
          <w:color w:val="000000"/>
          <w:sz w:val="28"/>
          <w:szCs w:val="28"/>
        </w:rPr>
      </w:pPr>
      <w:r w:rsidRPr="0056049F">
        <w:rPr>
          <w:rFonts w:ascii="Sakkal Majalla" w:eastAsia="Times New Roman" w:hAnsi="Sakkal Majalla" w:cs="Sakkal Majalla" w:hint="cs"/>
          <w:b/>
          <w:bCs/>
          <w:color w:val="000000"/>
          <w:sz w:val="28"/>
          <w:szCs w:val="28"/>
          <w:rtl/>
        </w:rPr>
        <w:t xml:space="preserve">مصدر: </w:t>
      </w:r>
      <w:r w:rsidRPr="0056049F">
        <w:rPr>
          <w:rFonts w:ascii="Sakkal Majalla" w:hAnsi="Sakkal Majalla" w:cs="Sakkal Majalla" w:hint="cs"/>
          <w:b/>
          <w:bCs/>
          <w:noProof/>
          <w:sz w:val="28"/>
          <w:szCs w:val="28"/>
        </w:rPr>
        <w:t>https://dsnmui.or.id/kategori/fatwa/</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lang w:bidi="ar-EG"/>
        </w:rPr>
      </w:pPr>
      <w:r w:rsidRPr="00E74E34">
        <w:rPr>
          <w:rFonts w:ascii="Sakkal Majalla" w:eastAsia="Times New Roman" w:hAnsi="Sakkal Majalla" w:cs="Sakkal Majalla" w:hint="cs"/>
          <w:color w:val="000000"/>
          <w:sz w:val="28"/>
          <w:szCs w:val="28"/>
          <w:rtl/>
        </w:rPr>
        <w:t xml:space="preserve">الفتوى الأولى المستنبط بهذه القاعدة يتكلم عن نظام توزيع نتائج الأعمال الداخلة في المؤسسة المالية الإسلامية عام 2000م، قد أصدرت الهيئة الشرعية الوطنية خلال تاريخ 17 يولي 2022م 143 فتوى وثماني وعشرون منها يُستنبط بهذه القاعدة، وذلك يبين أهمية ومكانة القاعدة عند الهيئة أنها لها دور عظيم.  </w:t>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lang w:bidi="ar-EG"/>
        </w:rPr>
        <w:t xml:space="preserve">الهيئة الشرعية الوطنية غالبها تستخدم هذه القاعدة خاتم الأدلة المذكورة وفي بعض الأحيان مبين للدليل قبلها، مثل في فتوى رقم </w:t>
      </w:r>
      <w:r w:rsidRPr="00E74E34">
        <w:rPr>
          <w:rFonts w:ascii="Sakkal Majalla" w:eastAsia="Times New Roman" w:hAnsi="Sakkal Majalla" w:cs="Sakkal Majalla" w:hint="cs"/>
          <w:color w:val="000000"/>
          <w:sz w:val="28"/>
          <w:szCs w:val="28"/>
        </w:rPr>
        <w:t>NO.116/DSN-MUI/IX/2017</w:t>
      </w:r>
      <w:r w:rsidRPr="00E74E34">
        <w:rPr>
          <w:rFonts w:ascii="Sakkal Majalla" w:eastAsia="Times New Roman" w:hAnsi="Sakkal Majalla" w:cs="Sakkal Majalla" w:hint="cs"/>
          <w:color w:val="000000"/>
          <w:sz w:val="28"/>
          <w:szCs w:val="28"/>
          <w:rtl/>
        </w:rPr>
        <w:t xml:space="preserve"> عن </w:t>
      </w:r>
      <w:r w:rsidRPr="00E74E34">
        <w:rPr>
          <w:rFonts w:ascii="Sakkal Majalla" w:eastAsia="Times New Roman" w:hAnsi="Sakkal Majalla" w:cs="Sakkal Majalla" w:hint="cs"/>
          <w:color w:val="000000"/>
          <w:sz w:val="28"/>
          <w:szCs w:val="28"/>
          <w:rtl/>
          <w:lang w:bidi="ar-EG"/>
        </w:rPr>
        <w:t>النقود الإلكترونية الإسلامية</w:t>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color w:val="000000"/>
          <w:sz w:val="28"/>
          <w:szCs w:val="28"/>
          <w:rtl/>
          <w:lang w:bidi="ar-EG"/>
        </w:rPr>
        <w:t xml:space="preserve">وفتوى رقم </w:t>
      </w:r>
      <w:r w:rsidRPr="00E74E34">
        <w:rPr>
          <w:rFonts w:ascii="Sakkal Majalla" w:eastAsia="Times New Roman" w:hAnsi="Sakkal Majalla" w:cs="Sakkal Majalla" w:hint="cs"/>
          <w:color w:val="000000"/>
          <w:sz w:val="28"/>
          <w:szCs w:val="28"/>
        </w:rPr>
        <w:t>NO:98/DSN-MUI/XII/2015</w:t>
      </w:r>
      <w:r w:rsidRPr="00E74E34">
        <w:rPr>
          <w:rFonts w:ascii="Sakkal Majalla" w:eastAsia="Times New Roman" w:hAnsi="Sakkal Majalla" w:cs="Sakkal Majalla" w:hint="cs"/>
          <w:color w:val="000000"/>
          <w:sz w:val="28"/>
          <w:szCs w:val="28"/>
          <w:rtl/>
          <w:lang w:bidi="ar-EG"/>
        </w:rPr>
        <w:t xml:space="preserve"> عن </w:t>
      </w:r>
      <w:r w:rsidRPr="00E74E34">
        <w:rPr>
          <w:rFonts w:ascii="Sakkal Majalla" w:eastAsia="Times New Roman" w:hAnsi="Sakkal Majalla" w:cs="Sakkal Majalla" w:hint="cs"/>
          <w:color w:val="000000"/>
          <w:sz w:val="28"/>
          <w:szCs w:val="28"/>
          <w:rtl/>
        </w:rPr>
        <w:t>مبادئ توجيهية لتطبيق ال</w:t>
      </w:r>
      <w:r w:rsidRPr="00E74E34">
        <w:rPr>
          <w:rFonts w:ascii="Sakkal Majalla" w:eastAsia="Times New Roman" w:hAnsi="Sakkal Majalla" w:cs="Sakkal Majalla" w:hint="cs"/>
          <w:color w:val="000000"/>
          <w:sz w:val="28"/>
          <w:szCs w:val="28"/>
          <w:rtl/>
          <w:lang w:bidi="ar-EG"/>
        </w:rPr>
        <w:t>ضمان</w:t>
      </w:r>
      <w:r w:rsidRPr="00E74E34">
        <w:rPr>
          <w:rFonts w:ascii="Sakkal Majalla" w:eastAsia="Times New Roman" w:hAnsi="Sakkal Majalla" w:cs="Sakkal Majalla" w:hint="cs"/>
          <w:color w:val="000000"/>
          <w:sz w:val="28"/>
          <w:szCs w:val="28"/>
          <w:rtl/>
        </w:rPr>
        <w:t xml:space="preserve"> الاجتماعي الصحي الشرعي، وغيرها،</w:t>
      </w:r>
      <w:r w:rsidRPr="00E74E34">
        <w:rPr>
          <w:rFonts w:ascii="Sakkal Majalla" w:eastAsia="Times New Roman" w:hAnsi="Sakkal Majalla" w:cs="Sakkal Majalla" w:hint="cs"/>
          <w:color w:val="000000"/>
          <w:sz w:val="28"/>
          <w:szCs w:val="28"/>
          <w:rtl/>
          <w:lang w:bidi="ar-EG"/>
        </w:rPr>
        <w:t xml:space="preserve"> فإن قاعدة "أينما وجدت المصلحة فثم حكم الله" في الأخير –لتكمل الكلام- بعد قول النبي صلى الله عليه وسلم:"أنتم أعلم بأمر دنياكم" والقاعدة المشهورة "الأصل في المعاملات الإباحة إلا أن يدل دليل على التحريم" و القاعدة "تصرف الإمام على الرعية منوط بالمصلحة".</w:t>
      </w:r>
      <w:r w:rsidR="00995817">
        <w:rPr>
          <w:rStyle w:val="EndnoteReference"/>
          <w:rFonts w:ascii="Sakkal Majalla" w:eastAsia="Times New Roman" w:hAnsi="Sakkal Majalla" w:cs="Sakkal Majalla"/>
          <w:color w:val="000000"/>
          <w:sz w:val="28"/>
          <w:szCs w:val="28"/>
          <w:rtl/>
          <w:lang w:bidi="ar-EG"/>
        </w:rPr>
        <w:endnoteReference w:id="59"/>
      </w:r>
    </w:p>
    <w:p w:rsidR="00E52F0F" w:rsidRPr="00E74E34" w:rsidRDefault="00E52F0F" w:rsidP="0056049F">
      <w:pPr>
        <w:tabs>
          <w:tab w:val="right" w:pos="380"/>
          <w:tab w:val="right" w:pos="522"/>
        </w:tabs>
        <w:bidi/>
        <w:spacing w:before="240" w:after="0" w:line="360" w:lineRule="auto"/>
        <w:jc w:val="both"/>
        <w:rPr>
          <w:rFonts w:ascii="Sakkal Majalla" w:eastAsia="Times New Roman" w:hAnsi="Sakkal Majalla" w:cs="Sakkal Majalla"/>
          <w:color w:val="000000"/>
          <w:sz w:val="28"/>
          <w:szCs w:val="28"/>
          <w:rtl/>
          <w:lang w:bidi="ar-EG"/>
        </w:rPr>
      </w:pPr>
      <w:r w:rsidRPr="00E74E34">
        <w:rPr>
          <w:rFonts w:ascii="Sakkal Majalla" w:eastAsia="Times New Roman" w:hAnsi="Sakkal Majalla" w:cs="Sakkal Majalla" w:hint="cs"/>
          <w:color w:val="000000"/>
          <w:sz w:val="28"/>
          <w:szCs w:val="28"/>
          <w:rtl/>
          <w:lang w:bidi="ar-EG"/>
        </w:rPr>
        <w:lastRenderedPageBreak/>
        <w:tab/>
      </w:r>
      <w:r w:rsidRPr="00E74E34">
        <w:rPr>
          <w:rFonts w:ascii="Sakkal Majalla" w:eastAsia="Times New Roman" w:hAnsi="Sakkal Majalla" w:cs="Sakkal Majalla" w:hint="cs"/>
          <w:color w:val="000000"/>
          <w:sz w:val="28"/>
          <w:szCs w:val="28"/>
          <w:lang w:bidi="ar-EG"/>
        </w:rPr>
        <w:tab/>
      </w:r>
      <w:r w:rsidRPr="00E74E34">
        <w:rPr>
          <w:rFonts w:ascii="Sakkal Majalla" w:eastAsia="Times New Roman" w:hAnsi="Sakkal Majalla" w:cs="Sakkal Majalla" w:hint="cs"/>
          <w:color w:val="000000"/>
          <w:sz w:val="28"/>
          <w:szCs w:val="28"/>
          <w:lang w:bidi="ar-EG"/>
        </w:rPr>
        <w:tab/>
      </w:r>
      <w:r w:rsidRPr="00E74E34">
        <w:rPr>
          <w:rFonts w:ascii="Sakkal Majalla" w:eastAsia="Times New Roman" w:hAnsi="Sakkal Majalla" w:cs="Sakkal Majalla" w:hint="cs"/>
          <w:color w:val="000000"/>
          <w:sz w:val="28"/>
          <w:szCs w:val="28"/>
          <w:rtl/>
          <w:lang w:bidi="ar-EG"/>
        </w:rPr>
        <w:t>كما سبق بيانه عن طريقة استنباط الفتوى وأساسها فإن الهيئة قد مر على طريقة السلف الصالح في استنباط الحكم،</w:t>
      </w:r>
      <w:r w:rsidR="00995817">
        <w:rPr>
          <w:rStyle w:val="EndnoteReference"/>
          <w:rFonts w:ascii="Sakkal Majalla" w:eastAsia="Times New Roman" w:hAnsi="Sakkal Majalla" w:cs="Sakkal Majalla"/>
          <w:color w:val="000000"/>
          <w:sz w:val="28"/>
          <w:szCs w:val="28"/>
          <w:rtl/>
          <w:lang w:bidi="ar-EG"/>
        </w:rPr>
        <w:endnoteReference w:id="60"/>
      </w:r>
      <w:r w:rsidRPr="00E74E34">
        <w:rPr>
          <w:rFonts w:ascii="Sakkal Majalla" w:eastAsia="Times New Roman" w:hAnsi="Sakkal Majalla" w:cs="Sakkal Majalla" w:hint="cs"/>
          <w:color w:val="000000"/>
          <w:sz w:val="28"/>
          <w:szCs w:val="28"/>
          <w:rtl/>
          <w:lang w:bidi="ar-EG"/>
        </w:rPr>
        <w:t>من التمسك بالقرآن والسنة، والنظر في رأي السلف الصالح كذلك في النظر في رأي الخبراء عن تلك القضية ولا يعارض مصالح الأمة. فالفتاوى الصادرة من الهيئة الشرعية الوطنية فيها مصالح عديدة، ولا يعارض الأدلة لأنها يدخل في المسائل الجديدة وهي مصلحة مرسلة، مثال ذلك، فتوى النقود الإلكترونية الإسلامية التي يسهل الناس في المعاملات التجارية اليومية، من الدفع والصدقة، فذلك يدعوا إلى تمانية القلب تؤثر إلى الصحة النفسية ورفاهية المجتمع،</w:t>
      </w:r>
      <w:r w:rsidR="00995817">
        <w:rPr>
          <w:rStyle w:val="EndnoteReference"/>
          <w:rFonts w:ascii="Sakkal Majalla" w:eastAsia="Times New Roman" w:hAnsi="Sakkal Majalla" w:cs="Sakkal Majalla"/>
          <w:color w:val="000000"/>
          <w:sz w:val="28"/>
          <w:szCs w:val="28"/>
          <w:rtl/>
          <w:lang w:bidi="ar-EG"/>
        </w:rPr>
        <w:endnoteReference w:id="61"/>
      </w:r>
      <w:r w:rsidRPr="00E74E34">
        <w:rPr>
          <w:rFonts w:ascii="Sakkal Majalla" w:eastAsia="Times New Roman" w:hAnsi="Sakkal Majalla" w:cs="Sakkal Majalla" w:hint="cs"/>
          <w:color w:val="000000"/>
          <w:sz w:val="28"/>
          <w:szCs w:val="28"/>
          <w:rtl/>
          <w:lang w:bidi="ar-EG"/>
        </w:rPr>
        <w:t xml:space="preserve"> لا سيما عند انتشار كورونا الذي يمنع الناس من الملامسة، فوجود فتوى عن إباحة النقود الإلكترونية الإسلامية تكون حلا مناسبا للغاية. تستخدم النقود الإلكترونية المسجلة نظام حماية أمني على شكل رقم تعريف شخصي أو بصمة أصابع يمكنها الحماية من الجريمة أو الإهمال مثل السرقة والضياع وغيرها من أشكال الجريمة.</w:t>
      </w:r>
      <w:r w:rsidR="00995817">
        <w:rPr>
          <w:rStyle w:val="EndnoteReference"/>
          <w:rFonts w:ascii="Sakkal Majalla" w:eastAsia="Times New Roman" w:hAnsi="Sakkal Majalla" w:cs="Sakkal Majalla"/>
          <w:color w:val="000000"/>
          <w:sz w:val="28"/>
          <w:szCs w:val="28"/>
          <w:rtl/>
          <w:lang w:bidi="ar-EG"/>
        </w:rPr>
        <w:endnoteReference w:id="62"/>
      </w:r>
    </w:p>
    <w:p w:rsidR="00E52F0F" w:rsidRPr="00E74E34" w:rsidRDefault="00E52F0F" w:rsidP="0056049F">
      <w:pPr>
        <w:bidi/>
        <w:spacing w:before="240" w:after="0" w:line="360" w:lineRule="auto"/>
        <w:ind w:firstLine="720"/>
        <w:jc w:val="both"/>
        <w:rPr>
          <w:rFonts w:ascii="Sakkal Majalla" w:eastAsia="Times New Roman" w:hAnsi="Sakkal Majalla" w:cs="Sakkal Majalla"/>
          <w:color w:val="000000"/>
          <w:sz w:val="28"/>
          <w:szCs w:val="28"/>
          <w:rtl/>
        </w:rPr>
      </w:pPr>
      <w:r w:rsidRPr="00E74E34">
        <w:rPr>
          <w:rFonts w:ascii="Sakkal Majalla" w:hAnsi="Sakkal Majalla" w:cs="Sakkal Majalla" w:hint="cs"/>
          <w:color w:val="000000"/>
          <w:sz w:val="28"/>
          <w:szCs w:val="28"/>
          <w:rtl/>
          <w:lang w:bidi="ar-EG"/>
        </w:rPr>
        <w:t xml:space="preserve">والفتوى عن </w:t>
      </w:r>
      <w:r w:rsidRPr="00E74E34">
        <w:rPr>
          <w:rFonts w:ascii="Sakkal Majalla" w:eastAsia="Times New Roman" w:hAnsi="Sakkal Majalla" w:cs="Sakkal Majalla" w:hint="cs"/>
          <w:color w:val="000000"/>
          <w:sz w:val="28"/>
          <w:szCs w:val="28"/>
          <w:rtl/>
        </w:rPr>
        <w:t>مبادئ توجيهية لتطبيق ال</w:t>
      </w:r>
      <w:r w:rsidRPr="00E74E34">
        <w:rPr>
          <w:rFonts w:ascii="Sakkal Majalla" w:eastAsia="Times New Roman" w:hAnsi="Sakkal Majalla" w:cs="Sakkal Majalla" w:hint="cs"/>
          <w:color w:val="000000"/>
          <w:sz w:val="28"/>
          <w:szCs w:val="28"/>
          <w:rtl/>
          <w:lang w:bidi="ar-EG"/>
        </w:rPr>
        <w:t>ضمان</w:t>
      </w:r>
      <w:r w:rsidRPr="00E74E34">
        <w:rPr>
          <w:rFonts w:ascii="Sakkal Majalla" w:eastAsia="Times New Roman" w:hAnsi="Sakkal Majalla" w:cs="Sakkal Majalla" w:hint="cs"/>
          <w:color w:val="000000"/>
          <w:sz w:val="28"/>
          <w:szCs w:val="28"/>
          <w:rtl/>
        </w:rPr>
        <w:t xml:space="preserve"> الاجتماعي الصحي الشرعي يعلم الناس أن يعدد نفسه لغد، من صحة الجسد. فهو </w:t>
      </w:r>
      <w:r w:rsidRPr="00E74E34">
        <w:rPr>
          <w:rFonts w:ascii="Sakkal Majalla" w:hAnsi="Sakkal Majalla" w:cs="Sakkal Majalla" w:hint="cs"/>
          <w:color w:val="000000"/>
          <w:sz w:val="28"/>
          <w:szCs w:val="28"/>
          <w:rtl/>
          <w:lang w:bidi="ar-EG"/>
        </w:rPr>
        <w:t>مُجبر على بذل الجهود حتى لا يكون للأحداث غير المتوقعة تأثير على الضرر القاتل (تخفيف المخاطر)</w:t>
      </w:r>
      <w:r w:rsidRPr="00E74E34">
        <w:rPr>
          <w:rFonts w:ascii="Sakkal Majalla" w:eastAsia="Times New Roman" w:hAnsi="Sakkal Majalla" w:cs="Sakkal Majalla" w:hint="cs"/>
          <w:color w:val="000000"/>
          <w:sz w:val="28"/>
          <w:szCs w:val="28"/>
          <w:rtl/>
        </w:rPr>
        <w:t xml:space="preserve"> حتى يسهله في عبادة ربه التي </w:t>
      </w:r>
      <w:r w:rsidRPr="00E74E34">
        <w:rPr>
          <w:rFonts w:ascii="Sakkal Majalla" w:eastAsia="Times New Roman" w:hAnsi="Sakkal Majalla" w:cs="Sakkal Majalla" w:hint="cs"/>
          <w:color w:val="000000"/>
          <w:sz w:val="28"/>
          <w:szCs w:val="28"/>
          <w:rtl/>
        </w:rPr>
        <w:lastRenderedPageBreak/>
        <w:t>هي غرض من خلق الناس</w:t>
      </w:r>
      <w:r w:rsidRPr="00E74E34">
        <w:rPr>
          <w:rFonts w:ascii="Sakkal Majalla" w:hAnsi="Sakkal Majalla" w:cs="Sakkal Majalla" w:hint="cs"/>
          <w:color w:val="000000"/>
          <w:sz w:val="28"/>
          <w:szCs w:val="28"/>
          <w:rtl/>
          <w:lang w:bidi="ar-EG"/>
        </w:rPr>
        <w:t>.</w:t>
      </w:r>
      <w:r w:rsidRPr="00E74E34">
        <w:rPr>
          <w:rFonts w:ascii="Sakkal Majalla" w:eastAsia="Times New Roman" w:hAnsi="Sakkal Majalla" w:cs="Sakkal Majalla" w:hint="cs"/>
          <w:color w:val="000000"/>
          <w:sz w:val="28"/>
          <w:szCs w:val="28"/>
          <w:rtl/>
        </w:rPr>
        <w:t>كذلك الفتوى عن المبادئ التوجيهية لإنشاء وعملية النقابة التعاونية الإسلامية، التي يحث الناس في التعاون بينهم مادام على شريعة الله.</w:t>
      </w:r>
      <w:r w:rsidR="00995817">
        <w:rPr>
          <w:rStyle w:val="EndnoteReference"/>
          <w:rFonts w:ascii="Sakkal Majalla" w:eastAsia="Times New Roman" w:hAnsi="Sakkal Majalla" w:cs="Sakkal Majalla"/>
          <w:color w:val="000000"/>
          <w:sz w:val="28"/>
          <w:szCs w:val="28"/>
          <w:rtl/>
        </w:rPr>
        <w:endnoteReference w:id="63"/>
      </w:r>
      <w:r w:rsidRPr="00E74E34">
        <w:rPr>
          <w:rFonts w:ascii="Sakkal Majalla" w:eastAsia="Times New Roman" w:hAnsi="Sakkal Majalla" w:cs="Sakkal Majalla" w:hint="cs"/>
          <w:color w:val="000000"/>
          <w:sz w:val="28"/>
          <w:szCs w:val="28"/>
        </w:rPr>
        <w:t xml:space="preserve"> </w:t>
      </w:r>
    </w:p>
    <w:p w:rsidR="00E52F0F" w:rsidRPr="00E74E34" w:rsidRDefault="00E52F0F" w:rsidP="0056049F">
      <w:pPr>
        <w:bidi/>
        <w:spacing w:before="240" w:after="0" w:line="360" w:lineRule="auto"/>
        <w:ind w:firstLine="720"/>
        <w:jc w:val="both"/>
        <w:rPr>
          <w:rFonts w:ascii="Sakkal Majalla" w:hAnsi="Sakkal Majalla" w:cs="Sakkal Majalla"/>
          <w:color w:val="000000"/>
          <w:sz w:val="28"/>
          <w:szCs w:val="28"/>
          <w:lang w:bidi="ar-EG"/>
        </w:rPr>
      </w:pPr>
      <w:r w:rsidRPr="00E74E34">
        <w:rPr>
          <w:rFonts w:ascii="Sakkal Majalla" w:eastAsia="Times New Roman" w:hAnsi="Sakkal Majalla" w:cs="Sakkal Majalla" w:hint="cs"/>
          <w:color w:val="000000"/>
          <w:sz w:val="28"/>
          <w:szCs w:val="28"/>
          <w:rtl/>
        </w:rPr>
        <w:t xml:space="preserve">لو اختلف العلماء في فتاوى الهيئة الشرعية الوطنية، ولكن ترى الباحثة –بعد مطالعة عميقة- أن فتاوى الهيئة الشرعية الوطنية لمجلس العلماء الإندونيسي المستنبط بالقاعدة "أينما وجدت المصلحة فثم حكم الله" توافق الشريعة ولا يعارض ضوابط وشروط العمل بالمصلحة، ولعل هذا يستمير ودوام الهيئة على هذا المنهج. إلا بعض الفتوى مثل  فتوى عن </w:t>
      </w:r>
      <w:r w:rsidRPr="00E74E34">
        <w:rPr>
          <w:rFonts w:ascii="Sakkal Majalla" w:eastAsia="Times New Roman" w:hAnsi="Sakkal Majalla" w:cs="Sakkal Majalla" w:hint="cs"/>
          <w:color w:val="000000"/>
          <w:sz w:val="28"/>
          <w:szCs w:val="28"/>
          <w:rtl/>
          <w:lang w:bidi="ar-EG"/>
        </w:rPr>
        <w:t>استخدام الأموال لا ينبغي الاعتراف بها كدخل للمؤسسة المالية الإسلامية والمؤسسة التجارية الإسلامية والمؤسسة الاقتصادية الإسلامية، وهذه الأموال تأتي من:</w:t>
      </w:r>
      <w:r w:rsidR="00E3066F">
        <w:rPr>
          <w:rStyle w:val="EndnoteReference"/>
          <w:rFonts w:ascii="Sakkal Majalla" w:eastAsia="Times New Roman" w:hAnsi="Sakkal Majalla" w:cs="Sakkal Majalla"/>
          <w:color w:val="000000"/>
          <w:sz w:val="28"/>
          <w:szCs w:val="28"/>
          <w:rtl/>
          <w:lang w:bidi="ar-EG"/>
        </w:rPr>
        <w:endnoteReference w:id="64"/>
      </w:r>
      <w:r w:rsidRPr="00E74E34">
        <w:rPr>
          <w:rFonts w:ascii="Sakkal Majalla" w:eastAsia="Times New Roman" w:hAnsi="Sakkal Majalla" w:cs="Sakkal Majalla" w:hint="cs"/>
          <w:color w:val="000000"/>
          <w:sz w:val="28"/>
          <w:szCs w:val="28"/>
          <w:lang w:bidi="ar-EG"/>
        </w:rPr>
        <w:t xml:space="preserve"> </w:t>
      </w:r>
      <w:r w:rsidRPr="00E74E34">
        <w:rPr>
          <w:rFonts w:ascii="Sakkal Majalla" w:eastAsia="Times New Roman" w:hAnsi="Sakkal Majalla" w:cs="Sakkal Majalla" w:hint="cs"/>
          <w:b/>
          <w:bCs/>
          <w:color w:val="000000"/>
          <w:sz w:val="28"/>
          <w:szCs w:val="28"/>
          <w:rtl/>
          <w:lang w:bidi="ar-EG"/>
        </w:rPr>
        <w:t>أولا:</w:t>
      </w:r>
      <w:r w:rsidRPr="00E74E34">
        <w:rPr>
          <w:rFonts w:ascii="Sakkal Majalla" w:eastAsia="Times New Roman" w:hAnsi="Sakkal Majalla" w:cs="Sakkal Majalla" w:hint="cs"/>
          <w:color w:val="000000"/>
          <w:sz w:val="28"/>
          <w:szCs w:val="28"/>
          <w:rtl/>
          <w:lang w:bidi="ar-EG"/>
        </w:rPr>
        <w:t xml:space="preserve"> المعاملات التي لا تتفق مع مبادئ الشريعة الإسلامية أمر لا مفر منه. </w:t>
      </w:r>
      <w:r w:rsidRPr="00E74E34">
        <w:rPr>
          <w:rFonts w:ascii="Sakkal Majalla" w:eastAsia="Times New Roman" w:hAnsi="Sakkal Majalla" w:cs="Sakkal Majalla" w:hint="cs"/>
          <w:b/>
          <w:bCs/>
          <w:color w:val="000000"/>
          <w:sz w:val="28"/>
          <w:szCs w:val="28"/>
          <w:rtl/>
          <w:lang w:bidi="ar-EG"/>
        </w:rPr>
        <w:t>ثانيا:</w:t>
      </w:r>
      <w:r w:rsidRPr="00E74E34">
        <w:rPr>
          <w:rFonts w:ascii="Sakkal Majalla" w:eastAsia="Times New Roman" w:hAnsi="Sakkal Majalla" w:cs="Sakkal Majalla" w:hint="cs"/>
          <w:color w:val="000000"/>
          <w:sz w:val="28"/>
          <w:szCs w:val="28"/>
          <w:rtl/>
          <w:lang w:bidi="ar-EG"/>
        </w:rPr>
        <w:t xml:space="preserve"> المعاملات الشرعية التي لا تستوفي الأركان والشروط فيها. </w:t>
      </w:r>
      <w:r w:rsidRPr="00E74E34">
        <w:rPr>
          <w:rFonts w:ascii="Sakkal Majalla" w:eastAsia="Times New Roman" w:hAnsi="Sakkal Majalla" w:cs="Sakkal Majalla" w:hint="cs"/>
          <w:b/>
          <w:bCs/>
          <w:color w:val="000000"/>
          <w:sz w:val="28"/>
          <w:szCs w:val="28"/>
          <w:rtl/>
          <w:lang w:bidi="ar-EG"/>
        </w:rPr>
        <w:t>ثالثا:</w:t>
      </w:r>
      <w:r w:rsidRPr="00E74E34">
        <w:rPr>
          <w:rFonts w:ascii="Sakkal Majalla" w:eastAsia="Times New Roman" w:hAnsi="Sakkal Majalla" w:cs="Sakkal Majalla" w:hint="cs"/>
          <w:color w:val="000000"/>
          <w:sz w:val="28"/>
          <w:szCs w:val="28"/>
          <w:rtl/>
          <w:lang w:bidi="ar-EG"/>
        </w:rPr>
        <w:t xml:space="preserve"> غرامة لعدم الوفاء بالالتزامات المنصوص عليها في الاتفاقية، </w:t>
      </w:r>
      <w:r w:rsidRPr="00E74E34">
        <w:rPr>
          <w:rFonts w:ascii="Sakkal Majalla" w:eastAsia="Times New Roman" w:hAnsi="Sakkal Majalla" w:cs="Sakkal Majalla" w:hint="cs"/>
          <w:b/>
          <w:bCs/>
          <w:color w:val="000000"/>
          <w:sz w:val="28"/>
          <w:szCs w:val="28"/>
          <w:rtl/>
          <w:lang w:bidi="ar-EG"/>
        </w:rPr>
        <w:t>رابعا:</w:t>
      </w:r>
      <w:r w:rsidRPr="00E74E34">
        <w:rPr>
          <w:rFonts w:ascii="Sakkal Majalla" w:eastAsia="Times New Roman" w:hAnsi="Sakkal Majalla" w:cs="Sakkal Majalla" w:hint="cs"/>
          <w:color w:val="000000"/>
          <w:sz w:val="28"/>
          <w:szCs w:val="28"/>
          <w:rtl/>
          <w:lang w:bidi="ar-EG"/>
        </w:rPr>
        <w:t xml:space="preserve"> الأموال التي لا يعرف مالكها أو يعرف ولكن لم يتم اللقاء أو يعرف المالك ولكن رسوم إعادتها أكبر من مبلغ الأموال. النظر إلى هذه الفتوى فكأن الهيئة الشرعية الوطنية لمجلس العلماء الإندونيسي يبيح وجود شيئا لا توافق الشريعة </w:t>
      </w:r>
      <w:r w:rsidRPr="00E74E34">
        <w:rPr>
          <w:rFonts w:ascii="Sakkal Majalla" w:eastAsia="Times New Roman" w:hAnsi="Sakkal Majalla" w:cs="Sakkal Majalla" w:hint="cs"/>
          <w:color w:val="000000"/>
          <w:sz w:val="28"/>
          <w:szCs w:val="28"/>
          <w:rtl/>
          <w:lang w:bidi="ar-EG"/>
        </w:rPr>
        <w:lastRenderedPageBreak/>
        <w:t xml:space="preserve">الإسلامية تماما، ولو وُجد شروط في استخدام هذه الأموال </w:t>
      </w:r>
      <w:r w:rsidRPr="00E74E34">
        <w:rPr>
          <w:rFonts w:ascii="Sakkal Majalla" w:eastAsia="Times New Roman" w:hAnsi="Sakkal Majalla" w:cs="Sakkal Majalla" w:hint="cs"/>
          <w:color w:val="000000"/>
          <w:sz w:val="28"/>
          <w:szCs w:val="28"/>
          <w:rtl/>
        </w:rPr>
        <w:t>ولها مصالح عديدة</w:t>
      </w:r>
      <w:r w:rsidR="00E3066F">
        <w:rPr>
          <w:rStyle w:val="EndnoteReference"/>
          <w:rFonts w:ascii="Sakkal Majalla" w:eastAsia="Times New Roman" w:hAnsi="Sakkal Majalla" w:cs="Sakkal Majalla"/>
          <w:color w:val="000000"/>
          <w:sz w:val="28"/>
          <w:szCs w:val="28"/>
          <w:rtl/>
        </w:rPr>
        <w:endnoteReference w:id="65"/>
      </w:r>
      <w:r w:rsidRPr="00E74E34">
        <w:rPr>
          <w:rFonts w:ascii="Sakkal Majalla" w:eastAsia="Times New Roman" w:hAnsi="Sakkal Majalla" w:cs="Sakkal Majalla" w:hint="cs"/>
          <w:color w:val="000000"/>
          <w:sz w:val="28"/>
          <w:szCs w:val="28"/>
          <w:rtl/>
        </w:rPr>
        <w:t xml:space="preserve"> </w:t>
      </w:r>
      <w:r w:rsidRPr="00E74E34">
        <w:rPr>
          <w:rFonts w:ascii="Sakkal Majalla" w:hAnsi="Sakkal Majalla" w:cs="Sakkal Majalla" w:hint="cs"/>
          <w:color w:val="000000"/>
          <w:sz w:val="28"/>
          <w:szCs w:val="28"/>
          <w:rtl/>
          <w:lang w:bidi="ar-EG"/>
        </w:rPr>
        <w:t>ولكن من الأحسن أن تقل المؤسسة على ذلك ولا تطيل فيه، فإن وجد وسيلة أخرى أحرى منه وأكثر توافقا للشريعة الإسلامية فينبغي الانصراف والانتقال إليه.</w:t>
      </w:r>
    </w:p>
    <w:p w:rsidR="00E52F0F" w:rsidRPr="00E74E34" w:rsidRDefault="00E52F0F" w:rsidP="0056049F">
      <w:pPr>
        <w:bidi/>
        <w:spacing w:before="240" w:after="0" w:line="360" w:lineRule="auto"/>
        <w:ind w:firstLine="720"/>
        <w:jc w:val="both"/>
        <w:rPr>
          <w:rFonts w:ascii="Sakkal Majalla" w:hAnsi="Sakkal Majalla" w:cs="Sakkal Majalla"/>
          <w:sz w:val="28"/>
          <w:szCs w:val="28"/>
          <w:rtl/>
        </w:rPr>
      </w:pPr>
      <w:r w:rsidRPr="00E74E34">
        <w:rPr>
          <w:rFonts w:ascii="Sakkal Majalla" w:eastAsia="Times New Roman" w:hAnsi="Sakkal Majalla" w:cs="Sakkal Majalla" w:hint="cs"/>
          <w:color w:val="000000"/>
          <w:sz w:val="28"/>
          <w:szCs w:val="28"/>
          <w:rtl/>
        </w:rPr>
        <w:t>هذا لأن من منهج الهيئة في الإفتاء هي</w:t>
      </w:r>
      <w:r w:rsidRPr="00E74E34">
        <w:rPr>
          <w:rFonts w:ascii="Sakkal Majalla" w:eastAsia="Times New Roman" w:hAnsi="Sakkal Majalla" w:cs="Sakkal Majalla" w:hint="cs"/>
          <w:b/>
          <w:bCs/>
          <w:color w:val="000000"/>
          <w:sz w:val="28"/>
          <w:szCs w:val="28"/>
          <w:rtl/>
          <w:lang w:bidi="ar-EG"/>
        </w:rPr>
        <w:t xml:space="preserve"> </w:t>
      </w:r>
      <w:r w:rsidRPr="00E74E34">
        <w:rPr>
          <w:rFonts w:ascii="Sakkal Majalla" w:eastAsia="Times New Roman" w:hAnsi="Sakkal Majalla" w:cs="Sakkal Majalla" w:hint="cs"/>
          <w:color w:val="000000"/>
          <w:sz w:val="28"/>
          <w:szCs w:val="28"/>
          <w:rtl/>
          <w:lang w:bidi="ar-EG"/>
        </w:rPr>
        <w:t>التيسير المنهجي</w:t>
      </w:r>
      <w:r w:rsidRPr="00E74E34">
        <w:rPr>
          <w:rFonts w:ascii="Sakkal Majalla" w:hAnsi="Sakkal Majalla" w:cs="Sakkal Majalla" w:hint="cs"/>
          <w:sz w:val="28"/>
          <w:szCs w:val="28"/>
          <w:rtl/>
        </w:rPr>
        <w:t xml:space="preserve"> وهو الأخذ بأرجح الأقوال والأصلح إن أمكن وإلا فالأصلح  وإعادة النظر في أقوال العلماء المتقدمين التي لا تصلح لهذا الزمان إما لأجل التعسر أو تعذر العمل أو صعوبة العمل. ومنها إعادة النظر في القول المعتمد والأخذ بالقول المرجوح، وذلك إما بسبب تغير علة الحكم أو أن القول المرجوح أصلح للأمة</w:t>
      </w:r>
      <w:r w:rsidRPr="00E74E34">
        <w:rPr>
          <w:rFonts w:ascii="Sakkal Majalla" w:hAnsi="Sakkal Majalla" w:cs="Sakkal Majalla" w:hint="cs"/>
          <w:sz w:val="28"/>
          <w:szCs w:val="28"/>
        </w:rPr>
        <w:t>.</w:t>
      </w:r>
      <w:r w:rsidRPr="00E74E34">
        <w:rPr>
          <w:rFonts w:ascii="Sakkal Majalla" w:eastAsia="Times New Roman" w:hAnsi="Sakkal Majalla" w:cs="Sakkal Majalla" w:hint="cs"/>
          <w:color w:val="000000"/>
          <w:sz w:val="28"/>
          <w:szCs w:val="28"/>
          <w:rtl/>
        </w:rPr>
        <w:t xml:space="preserve"> </w:t>
      </w:r>
    </w:p>
    <w:p w:rsidR="0056049F" w:rsidRDefault="0056049F" w:rsidP="0056049F">
      <w:pPr>
        <w:bidi/>
        <w:spacing w:before="240" w:after="0" w:line="360" w:lineRule="auto"/>
        <w:jc w:val="both"/>
        <w:rPr>
          <w:rFonts w:ascii="Sakkal Majalla" w:hAnsi="Sakkal Majalla" w:cs="Sakkal Majalla"/>
          <w:b/>
          <w:bCs/>
          <w:color w:val="000000"/>
          <w:sz w:val="28"/>
          <w:szCs w:val="28"/>
          <w:rtl/>
          <w:lang w:bidi="ar-EG"/>
        </w:rPr>
      </w:pPr>
    </w:p>
    <w:p w:rsidR="0056049F" w:rsidRDefault="0056049F" w:rsidP="0056049F">
      <w:pPr>
        <w:bidi/>
        <w:spacing w:before="240" w:after="0" w:line="360" w:lineRule="auto"/>
        <w:jc w:val="both"/>
        <w:rPr>
          <w:rFonts w:ascii="Sakkal Majalla" w:hAnsi="Sakkal Majalla" w:cs="Sakkal Majalla"/>
          <w:b/>
          <w:bCs/>
          <w:color w:val="000000"/>
          <w:sz w:val="28"/>
          <w:szCs w:val="28"/>
          <w:rtl/>
          <w:lang w:bidi="ar-EG"/>
        </w:rPr>
      </w:pPr>
    </w:p>
    <w:p w:rsidR="00E52F0F" w:rsidRDefault="00E52F0F" w:rsidP="0056049F">
      <w:pPr>
        <w:bidi/>
        <w:spacing w:before="240" w:after="0" w:line="360" w:lineRule="auto"/>
        <w:jc w:val="both"/>
        <w:rPr>
          <w:rFonts w:ascii="Sakkal Majalla" w:hAnsi="Sakkal Majalla" w:cs="Sakkal Majalla"/>
          <w:b/>
          <w:bCs/>
          <w:color w:val="000000"/>
          <w:sz w:val="28"/>
          <w:szCs w:val="28"/>
          <w:lang w:val="en-US" w:bidi="ar-YE"/>
        </w:rPr>
      </w:pPr>
      <w:r w:rsidRPr="00E74E34">
        <w:rPr>
          <w:rFonts w:ascii="Sakkal Majalla" w:hAnsi="Sakkal Majalla" w:cs="Sakkal Majalla" w:hint="cs"/>
          <w:b/>
          <w:bCs/>
          <w:color w:val="000000"/>
          <w:sz w:val="28"/>
          <w:szCs w:val="28"/>
          <w:rtl/>
          <w:lang w:bidi="ar-EG"/>
        </w:rPr>
        <w:t>الخاتمة</w:t>
      </w:r>
    </w:p>
    <w:p w:rsidR="00E52F0F" w:rsidRPr="00E74E34" w:rsidRDefault="00E52F0F" w:rsidP="0056049F">
      <w:pPr>
        <w:bidi/>
        <w:spacing w:before="240" w:after="0" w:line="360" w:lineRule="auto"/>
        <w:ind w:firstLine="720"/>
        <w:jc w:val="both"/>
        <w:rPr>
          <w:rFonts w:ascii="Sakkal Majalla" w:hAnsi="Sakkal Majalla" w:cs="Sakkal Majalla"/>
          <w:color w:val="000000"/>
          <w:sz w:val="28"/>
          <w:szCs w:val="28"/>
          <w:rtl/>
          <w:lang w:bidi="ar-EG"/>
        </w:rPr>
      </w:pPr>
      <w:r w:rsidRPr="00E74E34">
        <w:rPr>
          <w:rFonts w:ascii="Sakkal Majalla" w:hAnsi="Sakkal Majalla" w:cs="Sakkal Majalla" w:hint="cs"/>
          <w:color w:val="000000"/>
          <w:sz w:val="28"/>
          <w:szCs w:val="28"/>
          <w:rtl/>
          <w:lang w:bidi="ar-EG"/>
        </w:rPr>
        <w:t xml:space="preserve">توصلت الدراسة إلى القول بأن موقف </w:t>
      </w:r>
      <w:r w:rsidRPr="00E74E34">
        <w:rPr>
          <w:rFonts w:ascii="Sakkal Majalla" w:eastAsia="Times New Roman" w:hAnsi="Sakkal Majalla" w:cs="Sakkal Majalla" w:hint="cs"/>
          <w:color w:val="000000"/>
          <w:sz w:val="28"/>
          <w:szCs w:val="28"/>
          <w:rtl/>
          <w:lang w:val="en-ID"/>
        </w:rPr>
        <w:t xml:space="preserve">القاعدة "أينما وجدت المصلحة فثم حكم الله" لدى الهيئة الشرعية الوطنية لمجلس العلماء الإندونيسي مهم جدا وذلك يظهر في استخدام الهيئة هذه القاعدة في ثمانية وعشرين فتوى من </w:t>
      </w:r>
      <w:r w:rsidRPr="00E74E34">
        <w:rPr>
          <w:rFonts w:ascii="Sakkal Majalla" w:eastAsia="Times New Roman" w:hAnsi="Sakkal Majalla" w:cs="Sakkal Majalla" w:hint="cs"/>
          <w:color w:val="000000"/>
          <w:sz w:val="28"/>
          <w:szCs w:val="28"/>
          <w:rtl/>
        </w:rPr>
        <w:t xml:space="preserve">143 فتوى، وفي أكثر الحالة تكون القاعدة خاتم الأدلة ومبين لما قبلها. أما </w:t>
      </w:r>
      <w:r w:rsidRPr="00E74E34">
        <w:rPr>
          <w:rFonts w:ascii="Sakkal Majalla" w:eastAsia="Times New Roman" w:hAnsi="Sakkal Majalla" w:cs="Sakkal Majalla" w:hint="cs"/>
          <w:color w:val="000000"/>
          <w:sz w:val="28"/>
          <w:szCs w:val="28"/>
          <w:rtl/>
        </w:rPr>
        <w:lastRenderedPageBreak/>
        <w:t>منهج الهيئة، فما حصل عليه الباحثة بعد مطالعة الفتاوى الهيئة الشرعية الوطنية المستنبط بهده القاعدة هي منهج السلف الصالح في تطبيق المصلحة مع مراعاة ضوابط المصلحة</w:t>
      </w:r>
      <w:r w:rsidRPr="00E74E34">
        <w:rPr>
          <w:rFonts w:ascii="Sakkal Majalla" w:eastAsia="Times New Roman" w:hAnsi="Sakkal Majalla" w:cs="Sakkal Majalla" w:hint="cs"/>
          <w:color w:val="000000"/>
          <w:sz w:val="28"/>
          <w:szCs w:val="28"/>
          <w:rtl/>
          <w:lang w:bidi="ar-EG"/>
        </w:rPr>
        <w:t xml:space="preserve">. إلا في بعض الفتوى التي لم يطبق ضوابط المصلحة جيدة أو فيها شيء لم يطمئن به القلب، مثل </w:t>
      </w:r>
      <w:r w:rsidRPr="00E74E34">
        <w:rPr>
          <w:rFonts w:ascii="Sakkal Majalla" w:eastAsia="Times New Roman" w:hAnsi="Sakkal Majalla" w:cs="Sakkal Majalla" w:hint="cs"/>
          <w:color w:val="000000"/>
          <w:sz w:val="28"/>
          <w:szCs w:val="28"/>
          <w:rtl/>
        </w:rPr>
        <w:t xml:space="preserve">فتوى عن </w:t>
      </w:r>
      <w:r w:rsidRPr="00E74E34">
        <w:rPr>
          <w:rFonts w:ascii="Sakkal Majalla" w:eastAsia="Times New Roman" w:hAnsi="Sakkal Majalla" w:cs="Sakkal Majalla" w:hint="cs"/>
          <w:color w:val="000000"/>
          <w:sz w:val="28"/>
          <w:szCs w:val="28"/>
          <w:rtl/>
          <w:lang w:bidi="ar-EG"/>
        </w:rPr>
        <w:t xml:space="preserve">استخدام الأموال لا ينبغي الاعتراف بها كدخل للمؤسسة المالية الإسلامية والمؤسسة التجارية الإسلامية والمؤسسة الاقتصادية الإسلامية، فكأن الهيئة الشرعية الوطنية لمجلس العلماء الإندونيسي يبيح وجود شيئا لا تتوافق مع الشريعة الإسلامية تماما، ولو وجد شروط في استخدام هذه الأموال </w:t>
      </w:r>
      <w:r w:rsidRPr="00E74E34">
        <w:rPr>
          <w:rFonts w:ascii="Sakkal Majalla" w:eastAsia="Times New Roman" w:hAnsi="Sakkal Majalla" w:cs="Sakkal Majalla" w:hint="cs"/>
          <w:color w:val="000000"/>
          <w:sz w:val="28"/>
          <w:szCs w:val="28"/>
          <w:rtl/>
        </w:rPr>
        <w:t xml:space="preserve">ومصالح عديدة </w:t>
      </w:r>
      <w:r w:rsidRPr="00E74E34">
        <w:rPr>
          <w:rFonts w:ascii="Sakkal Majalla" w:hAnsi="Sakkal Majalla" w:cs="Sakkal Majalla" w:hint="cs"/>
          <w:color w:val="000000"/>
          <w:sz w:val="28"/>
          <w:szCs w:val="28"/>
          <w:rtl/>
          <w:lang w:bidi="ar-EG"/>
        </w:rPr>
        <w:t>ولكن من الأحسن أن تقل المؤسسة على ذلك ولا تطيل فيه، فإن وجد وسيلة أخرى أحرى منه وأكثر توافقا للشريعة الإسلامية فينبغي الانصراف والانتقال إليه. وذلك لأن من منهج الإفتاء الهيئة هي التيسير المنهجي وتفريق الحلال عن الحرام وإعادة النظر وتحقيق المناط الذي هو منهج في الهيئة في إصدار الفتوى.</w:t>
      </w:r>
    </w:p>
    <w:p w:rsidR="00E52F0F" w:rsidRPr="004A65FC" w:rsidRDefault="00E52F0F" w:rsidP="00E52F0F">
      <w:pPr>
        <w:bidi/>
        <w:spacing w:after="0"/>
        <w:ind w:firstLine="720"/>
        <w:jc w:val="both"/>
        <w:rPr>
          <w:rFonts w:ascii="Traditional Arabic" w:hAnsi="Traditional Arabic" w:cs="Traditional Arabic"/>
          <w:color w:val="000000"/>
          <w:sz w:val="28"/>
          <w:szCs w:val="28"/>
          <w:lang w:bidi="ar-EG"/>
        </w:rPr>
      </w:pPr>
    </w:p>
    <w:p w:rsidR="00E52F0F" w:rsidRPr="00B274B3" w:rsidRDefault="00E52F0F" w:rsidP="00E52F0F">
      <w:pPr>
        <w:bidi/>
        <w:spacing w:after="0"/>
        <w:jc w:val="both"/>
        <w:rPr>
          <w:rFonts w:ascii="Sakkal Majalla" w:hAnsi="Sakkal Majalla" w:cs="Sakkal Majalla"/>
          <w:b/>
          <w:bCs/>
          <w:color w:val="000000"/>
          <w:sz w:val="24"/>
          <w:szCs w:val="24"/>
          <w:lang w:bidi="ar-EG"/>
        </w:rPr>
      </w:pPr>
      <w:r w:rsidRPr="00B274B3">
        <w:rPr>
          <w:rFonts w:ascii="Sakkal Majalla" w:hAnsi="Sakkal Majalla" w:cs="Sakkal Majalla" w:hint="cs"/>
          <w:b/>
          <w:bCs/>
          <w:color w:val="000000"/>
          <w:sz w:val="28"/>
          <w:szCs w:val="28"/>
          <w:rtl/>
          <w:lang w:bidi="ar-EG"/>
        </w:rPr>
        <w:t>المراجع</w:t>
      </w:r>
    </w:p>
    <w:p w:rsidR="00E3066F" w:rsidRPr="00F22878" w:rsidRDefault="00E52F0F" w:rsidP="000D5261">
      <w:pPr>
        <w:widowControl w:val="0"/>
        <w:autoSpaceDE w:val="0"/>
        <w:autoSpaceDN w:val="0"/>
        <w:adjustRightInd w:val="0"/>
        <w:spacing w:after="0" w:line="240" w:lineRule="auto"/>
        <w:ind w:left="480" w:hanging="480"/>
        <w:jc w:val="both"/>
        <w:rPr>
          <w:rFonts w:ascii="Garamond" w:hAnsi="Garamond"/>
          <w:noProof/>
          <w:sz w:val="24"/>
          <w:szCs w:val="24"/>
        </w:rPr>
      </w:pPr>
      <w:r w:rsidRPr="00AD2F33">
        <w:rPr>
          <w:rFonts w:ascii="Garamond" w:hAnsi="Garamond"/>
          <w:sz w:val="24"/>
          <w:szCs w:val="24"/>
          <w:rtl/>
        </w:rPr>
        <w:fldChar w:fldCharType="begin" w:fldLock="1"/>
      </w:r>
      <w:r w:rsidRPr="00AD2F33">
        <w:rPr>
          <w:rFonts w:ascii="Garamond" w:hAnsi="Garamond"/>
          <w:sz w:val="24"/>
          <w:szCs w:val="24"/>
        </w:rPr>
        <w:instrText xml:space="preserve">ADDIN Mendeley Bibliography CSL_BIBLIOGRAPHY </w:instrText>
      </w:r>
      <w:r w:rsidRPr="00AD2F33">
        <w:rPr>
          <w:rFonts w:ascii="Garamond" w:hAnsi="Garamond"/>
          <w:sz w:val="24"/>
          <w:szCs w:val="24"/>
          <w:rtl/>
        </w:rPr>
        <w:fldChar w:fldCharType="separate"/>
      </w:r>
      <w:r w:rsidR="00E3066F" w:rsidRPr="00E3066F">
        <w:rPr>
          <w:rFonts w:ascii="Garamond" w:hAnsi="Garamond"/>
          <w:noProof/>
          <w:sz w:val="24"/>
          <w:szCs w:val="24"/>
        </w:rPr>
        <w:t xml:space="preserve">Akbar Sarif, Ridzwan Ahmad. “Konsep Maslahat Dan Mafsadat Menurut Imam Al-Gazali.” </w:t>
      </w:r>
      <w:r w:rsidR="00E3066F" w:rsidRPr="00E3066F">
        <w:rPr>
          <w:rFonts w:ascii="Garamond" w:hAnsi="Garamond"/>
          <w:i/>
          <w:iCs/>
          <w:noProof/>
          <w:sz w:val="24"/>
          <w:szCs w:val="24"/>
        </w:rPr>
        <w:t>Tsaqafah</w:t>
      </w:r>
      <w:r w:rsidR="00E3066F" w:rsidRPr="00E3066F">
        <w:rPr>
          <w:rFonts w:ascii="Garamond" w:hAnsi="Garamond"/>
          <w:noProof/>
          <w:sz w:val="24"/>
          <w:szCs w:val="24"/>
        </w:rPr>
        <w:t xml:space="preserve"> 2, no. 2 (2017): 15. doi:10.21111/tsaqafah.v13i2.1183.</w:t>
      </w:r>
    </w:p>
    <w:p w:rsidR="000D5261" w:rsidRPr="00F22878" w:rsidRDefault="000D5261" w:rsidP="000D5261">
      <w:pPr>
        <w:widowControl w:val="0"/>
        <w:autoSpaceDE w:val="0"/>
        <w:autoSpaceDN w:val="0"/>
        <w:adjustRightInd w:val="0"/>
        <w:spacing w:after="0" w:line="240" w:lineRule="auto"/>
        <w:ind w:left="480" w:hanging="480"/>
        <w:jc w:val="both"/>
        <w:rPr>
          <w:rFonts w:ascii="Garamond" w:hAnsi="Garamond"/>
          <w:noProof/>
          <w:sz w:val="24"/>
          <w:szCs w:val="24"/>
        </w:rPr>
      </w:pPr>
    </w:p>
    <w:p w:rsidR="00E3066F" w:rsidRPr="00F22878" w:rsidRDefault="00E3066F" w:rsidP="000D5261">
      <w:pPr>
        <w:widowControl w:val="0"/>
        <w:autoSpaceDE w:val="0"/>
        <w:autoSpaceDN w:val="0"/>
        <w:adjustRightInd w:val="0"/>
        <w:spacing w:after="0" w:line="240" w:lineRule="auto"/>
        <w:ind w:left="480" w:hanging="480"/>
        <w:jc w:val="both"/>
        <w:rPr>
          <w:rFonts w:ascii="Garamond" w:hAnsi="Garamond"/>
          <w:noProof/>
          <w:sz w:val="24"/>
          <w:szCs w:val="24"/>
        </w:rPr>
      </w:pPr>
      <w:r w:rsidRPr="00E3066F">
        <w:rPr>
          <w:rFonts w:ascii="Garamond" w:hAnsi="Garamond"/>
          <w:noProof/>
          <w:sz w:val="24"/>
          <w:szCs w:val="24"/>
        </w:rPr>
        <w:t xml:space="preserve">Al-’Anzi, Murḍī Bin Masyūha. “Al-Maṣlahah Fi Al-Fiqh Al-Islāmī.” </w:t>
      </w:r>
      <w:r w:rsidRPr="00E3066F">
        <w:rPr>
          <w:rFonts w:ascii="Garamond" w:hAnsi="Garamond"/>
          <w:i/>
          <w:iCs/>
          <w:noProof/>
          <w:sz w:val="24"/>
          <w:szCs w:val="24"/>
        </w:rPr>
        <w:lastRenderedPageBreak/>
        <w:t>Alūkah Asy-Syar’iyyah</w:t>
      </w:r>
      <w:r w:rsidRPr="00E3066F">
        <w:rPr>
          <w:rFonts w:ascii="Garamond" w:hAnsi="Garamond"/>
          <w:noProof/>
          <w:sz w:val="24"/>
          <w:szCs w:val="24"/>
        </w:rPr>
        <w:t>, 1438.</w:t>
      </w:r>
    </w:p>
    <w:p w:rsidR="000D5261" w:rsidRPr="00F22878" w:rsidRDefault="000D5261" w:rsidP="000D5261">
      <w:pPr>
        <w:widowControl w:val="0"/>
        <w:autoSpaceDE w:val="0"/>
        <w:autoSpaceDN w:val="0"/>
        <w:adjustRightInd w:val="0"/>
        <w:spacing w:after="0" w:line="240" w:lineRule="auto"/>
        <w:ind w:left="480" w:hanging="480"/>
        <w:jc w:val="both"/>
        <w:rPr>
          <w:rFonts w:ascii="Garamond" w:hAnsi="Garamond"/>
          <w:noProof/>
          <w:sz w:val="24"/>
          <w:szCs w:val="24"/>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Al-Bāhisīn, Ya’qūb. </w:t>
      </w:r>
      <w:r w:rsidRPr="00E3066F">
        <w:rPr>
          <w:rFonts w:ascii="Garamond" w:hAnsi="Garamond"/>
          <w:i/>
          <w:iCs/>
          <w:noProof/>
          <w:sz w:val="24"/>
          <w:szCs w:val="24"/>
        </w:rPr>
        <w:t>Raf’u Al-Haraj Fī- Asy-Syarī’ah Al-Islāmiyah</w:t>
      </w:r>
      <w:r w:rsidRPr="00E3066F">
        <w:rPr>
          <w:rFonts w:ascii="Garamond" w:hAnsi="Garamond"/>
          <w:noProof/>
          <w:sz w:val="24"/>
          <w:szCs w:val="24"/>
        </w:rPr>
        <w:t>. 4th ed. Ar-Riyāḍ: Maktabah Ar-Rusyd, 2011. https://www.noor-book.com/</w:t>
      </w:r>
      <w:r w:rsidRPr="00E3066F">
        <w:rPr>
          <w:rFonts w:ascii="Garamond" w:hAnsi="Garamond"/>
          <w:noProof/>
          <w:sz w:val="24"/>
          <w:szCs w:val="24"/>
          <w:rtl/>
        </w:rPr>
        <w:t>كتاب-رفع-الحرج-في-الشريعة-الإسلامية-دراسة-أصولية-تأصيلية-نسخة-مصورة</w:t>
      </w:r>
      <w:r w:rsidRPr="00E3066F">
        <w:rPr>
          <w:rFonts w:ascii="Garamond" w:hAnsi="Garamond"/>
          <w:noProof/>
          <w:sz w:val="24"/>
          <w:szCs w:val="24"/>
        </w:rPr>
        <w:t>-pdf.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Al-Būtī, Muhammad Sa’īd Ramaḍan. </w:t>
      </w:r>
      <w:r w:rsidRPr="00E3066F">
        <w:rPr>
          <w:rFonts w:ascii="Garamond" w:hAnsi="Garamond"/>
          <w:i/>
          <w:iCs/>
          <w:noProof/>
          <w:sz w:val="24"/>
          <w:szCs w:val="24"/>
        </w:rPr>
        <w:t>Ḍawabiṭ Al-Maṣlaḥah Asy-Syarī’ah Al-Islāmiyah</w:t>
      </w:r>
      <w:r w:rsidRPr="00E3066F">
        <w:rPr>
          <w:rFonts w:ascii="Garamond" w:hAnsi="Garamond"/>
          <w:noProof/>
          <w:sz w:val="24"/>
          <w:szCs w:val="24"/>
        </w:rPr>
        <w:t>. Damaskus: Muassasah Ar-Risālah, 1973. https://www.noor-book.com/</w:t>
      </w:r>
      <w:r w:rsidRPr="00E3066F">
        <w:rPr>
          <w:rFonts w:ascii="Garamond" w:hAnsi="Garamond"/>
          <w:noProof/>
          <w:sz w:val="24"/>
          <w:szCs w:val="24"/>
          <w:rtl/>
        </w:rPr>
        <w:t>كتاب-ضوابط-المصلحة-في-الشريعة-الإسلامية</w:t>
      </w:r>
      <w:r w:rsidRPr="00E3066F">
        <w:rPr>
          <w:rFonts w:ascii="Garamond" w:hAnsi="Garamond"/>
          <w:noProof/>
          <w:sz w:val="24"/>
          <w:szCs w:val="24"/>
        </w:rPr>
        <w:t>-pdf.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Al-Gazālī, Al-Gazālī. </w:t>
      </w:r>
      <w:r w:rsidRPr="00E3066F">
        <w:rPr>
          <w:rFonts w:ascii="Garamond" w:hAnsi="Garamond"/>
          <w:i/>
          <w:iCs/>
          <w:noProof/>
          <w:sz w:val="24"/>
          <w:szCs w:val="24"/>
        </w:rPr>
        <w:t>Al-Musṭafā</w:t>
      </w:r>
      <w:r w:rsidRPr="00E3066F">
        <w:rPr>
          <w:rFonts w:ascii="Garamond" w:hAnsi="Garamond"/>
          <w:noProof/>
          <w:sz w:val="24"/>
          <w:szCs w:val="24"/>
        </w:rPr>
        <w:t>. Jilid II. Beirut: Dār Al-Kutub Al-’Ilmiyyah, 1413. https://al-maktaba.org/book/5459.</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Al-Husain, Walid. </w:t>
      </w:r>
      <w:r w:rsidRPr="00E3066F">
        <w:rPr>
          <w:rFonts w:ascii="Garamond" w:hAnsi="Garamond"/>
          <w:i/>
          <w:iCs/>
          <w:noProof/>
          <w:sz w:val="24"/>
          <w:szCs w:val="24"/>
        </w:rPr>
        <w:t>I’tibār Maālāt Al-Af’āl Wa Aṡaruhā Al-Fiqhī</w:t>
      </w:r>
      <w:r w:rsidRPr="00E3066F">
        <w:rPr>
          <w:rFonts w:ascii="Garamond" w:hAnsi="Garamond"/>
          <w:noProof/>
          <w:sz w:val="24"/>
          <w:szCs w:val="24"/>
        </w:rPr>
        <w:t>. Mamlakah al-Arabiyah as-Su’ūdiyah: Dār At-Tadammuriyah, 2009. https://www.noor-book.com/</w:t>
      </w:r>
      <w:r w:rsidRPr="00E3066F">
        <w:rPr>
          <w:rFonts w:ascii="Garamond" w:hAnsi="Garamond"/>
          <w:noProof/>
          <w:sz w:val="24"/>
          <w:szCs w:val="24"/>
          <w:rtl/>
        </w:rPr>
        <w:t>كتاب-اعتبار-مالات-الافعال-واثرها-الفقهي</w:t>
      </w:r>
      <w:r w:rsidRPr="00E3066F">
        <w:rPr>
          <w:rFonts w:ascii="Garamond" w:hAnsi="Garamond"/>
          <w:noProof/>
          <w:sz w:val="24"/>
          <w:szCs w:val="24"/>
        </w:rPr>
        <w:t>-pdf.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Pr="00F22878" w:rsidRDefault="00E3066F" w:rsidP="000D5261">
      <w:pPr>
        <w:widowControl w:val="0"/>
        <w:autoSpaceDE w:val="0"/>
        <w:autoSpaceDN w:val="0"/>
        <w:adjustRightInd w:val="0"/>
        <w:spacing w:after="0" w:line="240" w:lineRule="auto"/>
        <w:ind w:left="480" w:hanging="480"/>
        <w:jc w:val="both"/>
        <w:rPr>
          <w:rFonts w:ascii="Garamond" w:hAnsi="Garamond"/>
          <w:noProof/>
          <w:sz w:val="24"/>
          <w:szCs w:val="24"/>
        </w:rPr>
      </w:pPr>
      <w:r w:rsidRPr="00E3066F">
        <w:rPr>
          <w:rFonts w:ascii="Garamond" w:hAnsi="Garamond"/>
          <w:noProof/>
          <w:sz w:val="24"/>
          <w:szCs w:val="24"/>
        </w:rPr>
        <w:t xml:space="preserve">Asy-Syāṭibī, Ibrāhīm bin Mūsā. </w:t>
      </w:r>
      <w:r w:rsidRPr="00E3066F">
        <w:rPr>
          <w:rFonts w:ascii="Garamond" w:hAnsi="Garamond"/>
          <w:i/>
          <w:iCs/>
          <w:noProof/>
          <w:sz w:val="24"/>
          <w:szCs w:val="24"/>
        </w:rPr>
        <w:t>Al-Muwāfaqāt</w:t>
      </w:r>
      <w:r w:rsidRPr="00E3066F">
        <w:rPr>
          <w:rFonts w:ascii="Garamond" w:hAnsi="Garamond"/>
          <w:noProof/>
          <w:sz w:val="24"/>
          <w:szCs w:val="24"/>
        </w:rPr>
        <w:t>. Jilid II. Dār al-Ma’rifah, 1996. https://www.noor-book.com/</w:t>
      </w:r>
      <w:r w:rsidRPr="00E3066F">
        <w:rPr>
          <w:rFonts w:ascii="Garamond" w:hAnsi="Garamond"/>
          <w:noProof/>
          <w:sz w:val="24"/>
          <w:szCs w:val="24"/>
          <w:rtl/>
        </w:rPr>
        <w:t>كتاب-الموافقات-ت-مشهور</w:t>
      </w:r>
      <w:r w:rsidRPr="00E3066F">
        <w:rPr>
          <w:rFonts w:ascii="Garamond" w:hAnsi="Garamond"/>
          <w:noProof/>
          <w:sz w:val="24"/>
          <w:szCs w:val="24"/>
        </w:rPr>
        <w:t>-pdf.</w:t>
      </w:r>
    </w:p>
    <w:p w:rsidR="000D5261" w:rsidRPr="00F22878" w:rsidRDefault="000D5261" w:rsidP="000D5261">
      <w:pPr>
        <w:widowControl w:val="0"/>
        <w:autoSpaceDE w:val="0"/>
        <w:autoSpaceDN w:val="0"/>
        <w:adjustRightInd w:val="0"/>
        <w:spacing w:after="0" w:line="240" w:lineRule="auto"/>
        <w:ind w:left="480" w:hanging="480"/>
        <w:jc w:val="both"/>
        <w:rPr>
          <w:rFonts w:ascii="Garamond" w:hAnsi="Garamond"/>
          <w:noProof/>
          <w:sz w:val="24"/>
          <w:szCs w:val="24"/>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Asysyanqīṭī, Muhammad Al-Amīn. </w:t>
      </w:r>
      <w:r w:rsidRPr="00E3066F">
        <w:rPr>
          <w:rFonts w:ascii="Garamond" w:hAnsi="Garamond"/>
          <w:i/>
          <w:iCs/>
          <w:noProof/>
          <w:sz w:val="24"/>
          <w:szCs w:val="24"/>
        </w:rPr>
        <w:t>Mużakkirah Fī Uṣūl Al-Fiqh</w:t>
      </w:r>
      <w:r w:rsidRPr="00E3066F">
        <w:rPr>
          <w:rFonts w:ascii="Garamond" w:hAnsi="Garamond"/>
          <w:noProof/>
          <w:sz w:val="24"/>
          <w:szCs w:val="24"/>
        </w:rPr>
        <w:t>. Jaddah: Maktabah al-Ulūm wa al-Hukm, 1426. https://www.noor-book.com/</w:t>
      </w:r>
      <w:r w:rsidRPr="00E3066F">
        <w:rPr>
          <w:rFonts w:ascii="Garamond" w:hAnsi="Garamond"/>
          <w:noProof/>
          <w:sz w:val="24"/>
          <w:szCs w:val="24"/>
          <w:rtl/>
        </w:rPr>
        <w:t>كتاب-مذكرة-في-أصول-الفقه-ط-العلوم-والحكم</w:t>
      </w:r>
      <w:r w:rsidRPr="00E3066F">
        <w:rPr>
          <w:rFonts w:ascii="Garamond" w:hAnsi="Garamond"/>
          <w:noProof/>
          <w:sz w:val="24"/>
          <w:szCs w:val="24"/>
        </w:rPr>
        <w:t>-pdf.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Āsyūr, Ibn. </w:t>
      </w:r>
      <w:r w:rsidRPr="00E3066F">
        <w:rPr>
          <w:rFonts w:ascii="Garamond" w:hAnsi="Garamond"/>
          <w:i/>
          <w:iCs/>
          <w:noProof/>
          <w:sz w:val="24"/>
          <w:szCs w:val="24"/>
        </w:rPr>
        <w:t>Maqāṣid Asy-Syarī’ah Al-Islāmiyah</w:t>
      </w:r>
      <w:r w:rsidRPr="00E3066F">
        <w:rPr>
          <w:rFonts w:ascii="Garamond" w:hAnsi="Garamond"/>
          <w:noProof/>
          <w:sz w:val="24"/>
          <w:szCs w:val="24"/>
        </w:rPr>
        <w:t>. 2nd ed. Qāhirah: Dār al-Kitāb al-Miṣr, 2011. https://www.noor-book.com/</w:t>
      </w:r>
      <w:r w:rsidRPr="00E3066F">
        <w:rPr>
          <w:rFonts w:ascii="Garamond" w:hAnsi="Garamond"/>
          <w:noProof/>
          <w:sz w:val="24"/>
          <w:szCs w:val="24"/>
          <w:rtl/>
        </w:rPr>
        <w:t>كتاب-مقاصد-الشريعة-الإسلامية-محمد-الطاهر-بن-عاشور</w:t>
      </w:r>
      <w:r w:rsidRPr="00E3066F">
        <w:rPr>
          <w:rFonts w:ascii="Garamond" w:hAnsi="Garamond"/>
          <w:noProof/>
          <w:sz w:val="24"/>
          <w:szCs w:val="24"/>
        </w:rPr>
        <w:t>-pdf.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Dimyati, Ahmad. </w:t>
      </w:r>
      <w:r w:rsidRPr="00E3066F">
        <w:rPr>
          <w:rFonts w:ascii="Garamond" w:hAnsi="Garamond"/>
          <w:i/>
          <w:iCs/>
          <w:noProof/>
          <w:sz w:val="24"/>
          <w:szCs w:val="24"/>
        </w:rPr>
        <w:t>Rekonstruksi Metodologi Fatwa Perbankan Syariah</w:t>
      </w:r>
      <w:r w:rsidRPr="00E3066F">
        <w:rPr>
          <w:rFonts w:ascii="Garamond" w:hAnsi="Garamond"/>
          <w:noProof/>
          <w:sz w:val="24"/>
          <w:szCs w:val="24"/>
        </w:rPr>
        <w:t>. Pati: CSIF Sekolah Tinggi Agama Islam Mathali’ul Falah, 2015.</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Hadi, Imam Abdul. “Kedudukan Dan Wewenang Lembaga Fatwa (DSN MUI) Pada Bank Syariah.” </w:t>
      </w:r>
      <w:r w:rsidRPr="00E3066F">
        <w:rPr>
          <w:rFonts w:ascii="Garamond" w:hAnsi="Garamond"/>
          <w:i/>
          <w:iCs/>
          <w:noProof/>
          <w:sz w:val="24"/>
          <w:szCs w:val="24"/>
        </w:rPr>
        <w:t>Economic: Journal of Economic and Islamic Law</w:t>
      </w:r>
      <w:r w:rsidRPr="00E3066F">
        <w:rPr>
          <w:rFonts w:ascii="Garamond" w:hAnsi="Garamond"/>
          <w:noProof/>
          <w:sz w:val="24"/>
          <w:szCs w:val="24"/>
        </w:rPr>
        <w:t xml:space="preserve"> 1, no. 2 (2013): 1–13. https://onesearch.id/Record/IOS2830.article-796.</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Haidar, Muhammad Aqil. “Aplikasi Kaidah Hal Al-’Ibrah Bi Ṣiyag Al-’Uqud Aw Bi Ma’aniha Dalam Fatwa Dewan Syariah Nasional (DSN) Majelis Ulama Indonesia (MUI).” Pascasarjana Institut Ilmu Al-Quran (IIQ) Jakarta, 2021. http://repository.iiq.ac.id/handle/123456789/1251.</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Pr="00F22878" w:rsidRDefault="00E3066F" w:rsidP="000D5261">
      <w:pPr>
        <w:widowControl w:val="0"/>
        <w:autoSpaceDE w:val="0"/>
        <w:autoSpaceDN w:val="0"/>
        <w:adjustRightInd w:val="0"/>
        <w:spacing w:after="0" w:line="240" w:lineRule="auto"/>
        <w:ind w:left="480" w:hanging="480"/>
        <w:jc w:val="both"/>
        <w:rPr>
          <w:rFonts w:ascii="Garamond" w:hAnsi="Garamond"/>
          <w:noProof/>
          <w:sz w:val="24"/>
          <w:szCs w:val="24"/>
        </w:rPr>
      </w:pPr>
      <w:r w:rsidRPr="00E3066F">
        <w:rPr>
          <w:rFonts w:ascii="Garamond" w:hAnsi="Garamond"/>
          <w:noProof/>
          <w:sz w:val="24"/>
          <w:szCs w:val="24"/>
        </w:rPr>
        <w:t xml:space="preserve">Hamid, Abdul. “Aplikasi Teori Mashlahah (Maslahat) Najm Al-Dîn Al-Thûfî Dalam Penyelesaian Sengketa Perjanjian Bisnis Di Bank Syariah.” </w:t>
      </w:r>
      <w:r w:rsidRPr="00E3066F">
        <w:rPr>
          <w:rFonts w:ascii="Garamond" w:hAnsi="Garamond"/>
          <w:i/>
          <w:iCs/>
          <w:noProof/>
          <w:sz w:val="24"/>
          <w:szCs w:val="24"/>
        </w:rPr>
        <w:t>Al-’Adalah</w:t>
      </w:r>
      <w:r w:rsidRPr="00E3066F">
        <w:rPr>
          <w:rFonts w:ascii="Garamond" w:hAnsi="Garamond"/>
          <w:noProof/>
          <w:sz w:val="24"/>
          <w:szCs w:val="24"/>
        </w:rPr>
        <w:t xml:space="preserve"> 12, no. 2 (2015): 729–42. doi:10.24042/adalah.v12i2.210.</w:t>
      </w:r>
    </w:p>
    <w:p w:rsidR="000D5261" w:rsidRPr="00F22878" w:rsidRDefault="000D5261" w:rsidP="000D5261">
      <w:pPr>
        <w:widowControl w:val="0"/>
        <w:autoSpaceDE w:val="0"/>
        <w:autoSpaceDN w:val="0"/>
        <w:adjustRightInd w:val="0"/>
        <w:spacing w:after="0" w:line="240" w:lineRule="auto"/>
        <w:ind w:left="480" w:hanging="480"/>
        <w:jc w:val="both"/>
        <w:rPr>
          <w:rFonts w:ascii="Garamond" w:hAnsi="Garamond"/>
          <w:noProof/>
          <w:sz w:val="24"/>
          <w:szCs w:val="24"/>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Haq, Yusdi. “Fatāwā Al-Haiah Asy-Syar’iyyah Al-Waṭ Aniyyah Li Majlis Al-’Ulama Al-Indūnisī (Dirasah Fiqhiyyah Muqāranah Bi Qarārāt Majma’ Al-Fiqhi Al-Islāmi Ad-Daul).” Pascasarjana Universitas Muhammadiyah Surakarta, 2021. http://eprints.ums.ac.id/view/creators/Haq=3AYusdi=3A=3A.html.</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Hasan, Moh. Abdul Khaliq. “Interfaith Tolerance and Its Relevance to the Indonesian Diversity: A Study on Ibn ʿĀshūr’s Al-Taḥrīr Wa Al-Tanwīr.” </w:t>
      </w:r>
      <w:r w:rsidRPr="00E3066F">
        <w:rPr>
          <w:rFonts w:ascii="Garamond" w:hAnsi="Garamond"/>
          <w:i/>
          <w:iCs/>
          <w:noProof/>
          <w:sz w:val="24"/>
          <w:szCs w:val="24"/>
        </w:rPr>
        <w:t>Ulumuna</w:t>
      </w:r>
      <w:r w:rsidRPr="00E3066F">
        <w:rPr>
          <w:rFonts w:ascii="Garamond" w:hAnsi="Garamond"/>
          <w:noProof/>
          <w:sz w:val="24"/>
          <w:szCs w:val="24"/>
        </w:rPr>
        <w:t xml:space="preserve"> 22, no. 2 (2018): 333–62. doi:10.20414/ujis.v22i2.301.</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Hasyim, Syafiq. “The Council of Indonesian Ulama (Majelis Ulama Indonesia, MUI) and Religious Freedom.” </w:t>
      </w:r>
      <w:r w:rsidRPr="00E3066F">
        <w:rPr>
          <w:rFonts w:ascii="Garamond" w:hAnsi="Garamond"/>
          <w:i/>
          <w:iCs/>
          <w:noProof/>
          <w:sz w:val="24"/>
          <w:szCs w:val="24"/>
        </w:rPr>
        <w:t>Irasec</w:t>
      </w:r>
      <w:r w:rsidRPr="00E3066F">
        <w:rPr>
          <w:rFonts w:ascii="Garamond" w:hAnsi="Garamond"/>
          <w:noProof/>
          <w:sz w:val="24"/>
          <w:szCs w:val="24"/>
        </w:rPr>
        <w:t xml:space="preserve"> 12 (2011): 26. https://www.irasec.com/ouvrage36.</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Hidayati, Tri. “Urgensi Fatwa DSN-MUI Mengenai Manajemen Risiko </w:t>
      </w:r>
      <w:r w:rsidRPr="00E3066F">
        <w:rPr>
          <w:rFonts w:ascii="Garamond" w:hAnsi="Garamond"/>
          <w:noProof/>
          <w:sz w:val="24"/>
          <w:szCs w:val="24"/>
        </w:rPr>
        <w:lastRenderedPageBreak/>
        <w:t xml:space="preserve">Pembiayaan Berbasis Syariah.” </w:t>
      </w:r>
      <w:r w:rsidRPr="00E3066F">
        <w:rPr>
          <w:rFonts w:ascii="Garamond" w:hAnsi="Garamond"/>
          <w:i/>
          <w:iCs/>
          <w:noProof/>
          <w:sz w:val="24"/>
          <w:szCs w:val="24"/>
        </w:rPr>
        <w:t>Al-Manahij: Jurnal Kajian Hukum Islam</w:t>
      </w:r>
      <w:r w:rsidRPr="00E3066F">
        <w:rPr>
          <w:rFonts w:ascii="Garamond" w:hAnsi="Garamond"/>
          <w:noProof/>
          <w:sz w:val="24"/>
          <w:szCs w:val="24"/>
        </w:rPr>
        <w:t xml:space="preserve"> 15, no. 2 (2021): 201–20. doi:10.24090/mnh.v15i2.4641.</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Ibnu Qudāmah. </w:t>
      </w:r>
      <w:r w:rsidRPr="00E3066F">
        <w:rPr>
          <w:rFonts w:ascii="Garamond" w:hAnsi="Garamond"/>
          <w:i/>
          <w:iCs/>
          <w:noProof/>
          <w:sz w:val="24"/>
          <w:szCs w:val="24"/>
        </w:rPr>
        <w:t>Rauḍah An-Nāẓir Wa Jannah Al-Manāẓir</w:t>
      </w:r>
      <w:r w:rsidRPr="00E3066F">
        <w:rPr>
          <w:rFonts w:ascii="Garamond" w:hAnsi="Garamond"/>
          <w:noProof/>
          <w:sz w:val="24"/>
          <w:szCs w:val="24"/>
        </w:rPr>
        <w:t>. Al-Maktabah Al-Makkiyah, n.d.</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Indonesia, Dewan Syariah Nasional – Majelis Ulama. “Fatwa.” </w:t>
      </w:r>
      <w:r w:rsidRPr="00E3066F">
        <w:rPr>
          <w:rFonts w:ascii="Garamond" w:hAnsi="Garamond"/>
          <w:i/>
          <w:iCs/>
          <w:noProof/>
          <w:sz w:val="24"/>
          <w:szCs w:val="24"/>
        </w:rPr>
        <w:t>DSN MUI</w:t>
      </w:r>
      <w:r w:rsidRPr="00E3066F">
        <w:rPr>
          <w:rFonts w:ascii="Garamond" w:hAnsi="Garamond"/>
          <w:noProof/>
          <w:sz w:val="24"/>
          <w:szCs w:val="24"/>
        </w:rPr>
        <w:t>. Indonesia, 2022. https://dsnmui.or.id/kategori/fatwa/.</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 “Sekilas Tentang DSN-MUI.” </w:t>
      </w:r>
      <w:r w:rsidRPr="00E3066F">
        <w:rPr>
          <w:rFonts w:ascii="Garamond" w:hAnsi="Garamond"/>
          <w:i/>
          <w:iCs/>
          <w:noProof/>
          <w:sz w:val="24"/>
          <w:szCs w:val="24"/>
        </w:rPr>
        <w:t>Https://Dsnmui.or.Id</w:t>
      </w:r>
      <w:r w:rsidRPr="00E3066F">
        <w:rPr>
          <w:rFonts w:ascii="Garamond" w:hAnsi="Garamond"/>
          <w:noProof/>
          <w:sz w:val="24"/>
          <w:szCs w:val="24"/>
        </w:rPr>
        <w:t>. Accessed July 13, 2021. https://dsnmui.or.id/kami/sekilas/.</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Indonesia, Kementrian Agama Republik. </w:t>
      </w:r>
      <w:r w:rsidRPr="00E3066F">
        <w:rPr>
          <w:rFonts w:ascii="Garamond" w:hAnsi="Garamond"/>
          <w:i/>
          <w:iCs/>
          <w:noProof/>
          <w:sz w:val="24"/>
          <w:szCs w:val="24"/>
        </w:rPr>
        <w:t>Al-Qur’an Terjemah &amp; Tafsir Perkata</w:t>
      </w:r>
      <w:r w:rsidRPr="00E3066F">
        <w:rPr>
          <w:rFonts w:ascii="Garamond" w:hAnsi="Garamond"/>
          <w:noProof/>
          <w:sz w:val="24"/>
          <w:szCs w:val="24"/>
        </w:rPr>
        <w:t>. Bandung: Jabal Raudhah al-Jannah, 2010. https://seamushaf.kemenag.go.id/telusuri/detail/576/al-quran-terjemah-dan-tafsir-per-katajabal13.</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Ismail, Iffatul Umniati. “Telaah Kritis Metodologi Istinbath MUI (Studi Kasus Fatwa Tentang Golput).” </w:t>
      </w:r>
      <w:r w:rsidRPr="00E3066F">
        <w:rPr>
          <w:rFonts w:ascii="Garamond" w:hAnsi="Garamond"/>
          <w:i/>
          <w:iCs/>
          <w:noProof/>
          <w:sz w:val="24"/>
          <w:szCs w:val="24"/>
        </w:rPr>
        <w:t>Media Syariah</w:t>
      </w:r>
      <w:r w:rsidRPr="00E3066F">
        <w:rPr>
          <w:rFonts w:ascii="Garamond" w:hAnsi="Garamond"/>
          <w:noProof/>
          <w:sz w:val="24"/>
          <w:szCs w:val="24"/>
        </w:rPr>
        <w:t xml:space="preserve"> 13, no. 1 (2011): 73–82. https://core.ac.uk/download/pdf/228446265.pdf.</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MUI, Dewan Syariah Nasional. </w:t>
      </w:r>
      <w:r w:rsidRPr="00E3066F">
        <w:rPr>
          <w:rFonts w:ascii="Garamond" w:hAnsi="Garamond"/>
          <w:i/>
          <w:iCs/>
          <w:noProof/>
          <w:sz w:val="24"/>
          <w:szCs w:val="24"/>
        </w:rPr>
        <w:t>Himpunan Fatwa Keuangan Syariah</w:t>
      </w:r>
      <w:r w:rsidRPr="00E3066F">
        <w:rPr>
          <w:rFonts w:ascii="Garamond" w:hAnsi="Garamond"/>
          <w:noProof/>
          <w:sz w:val="24"/>
          <w:szCs w:val="24"/>
        </w:rPr>
        <w:t>. Jakarta: Penerbit Erlangga, 2014.</w:t>
      </w:r>
    </w:p>
    <w:p w:rsidR="000D5261" w:rsidRPr="000D5261" w:rsidRDefault="000D5261"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Nasioanal-MUI, Dewan Syariah. “Fatwa DSN-MUI No. 98/DSN-MUI/XII/2015 Tentang Pedoman Penyelenggaraan Jaminan Sosial Kesehatan Syariah.” </w:t>
      </w:r>
      <w:r w:rsidRPr="00E3066F">
        <w:rPr>
          <w:rFonts w:ascii="Garamond" w:hAnsi="Garamond"/>
          <w:i/>
          <w:iCs/>
          <w:noProof/>
          <w:sz w:val="24"/>
          <w:szCs w:val="24"/>
        </w:rPr>
        <w:t>Dsnmui.or.Id</w:t>
      </w:r>
      <w:r w:rsidRPr="00E3066F">
        <w:rPr>
          <w:rFonts w:ascii="Garamond" w:hAnsi="Garamond"/>
          <w:noProof/>
          <w:sz w:val="24"/>
          <w:szCs w:val="24"/>
        </w:rPr>
        <w:t>, n.d.</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Nasional-MUI, Dewan Syariah. “Fatwa DSN-MUI NO: 116/DSN-MUI/IX/2017 Tentang Uang Elektronik Syariah.” </w:t>
      </w:r>
      <w:r w:rsidRPr="00E3066F">
        <w:rPr>
          <w:rFonts w:ascii="Garamond" w:hAnsi="Garamond"/>
          <w:i/>
          <w:iCs/>
          <w:noProof/>
          <w:sz w:val="24"/>
          <w:szCs w:val="24"/>
        </w:rPr>
        <w:t>Dsnmui.or.Id</w:t>
      </w:r>
      <w:r w:rsidRPr="00E3066F">
        <w:rPr>
          <w:rFonts w:ascii="Garamond" w:hAnsi="Garamond"/>
          <w:noProof/>
          <w:sz w:val="24"/>
          <w:szCs w:val="24"/>
        </w:rPr>
        <w:t>, 2017. https://drive.google.com/file/d/1Fxu7L83m1qDUM84fvsrQN3iwEjaxeRLEy/view.</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“Fatwa DSN-MUI No. 123/DSN-MUI/XI/2018 Tentang Penggunaan Dana Yang Tidak Boleh Diakui Sebagai Pendapatan Bagi Lembaga Keuangan Syariah, Lembaga Bisnis Syariah Dan Lembaga Perekonomian Syariah,” 2018. https://drive.google.com/file/d/1ueeutJQGmvFEvYLADqySzeBx_cs2dkde/view.</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Pasaribu, Muksana. “Maslahat Dan Perkembangannya Sebagai Dasar Penetapan Hukum Islam.” </w:t>
      </w:r>
      <w:r w:rsidRPr="00E3066F">
        <w:rPr>
          <w:rFonts w:ascii="Garamond" w:hAnsi="Garamond"/>
          <w:i/>
          <w:iCs/>
          <w:noProof/>
          <w:sz w:val="24"/>
          <w:szCs w:val="24"/>
        </w:rPr>
        <w:t>JUSTITIA: Jurnal Ilmu Hukum Dan Humaniora</w:t>
      </w:r>
      <w:r w:rsidRPr="00E3066F">
        <w:rPr>
          <w:rFonts w:ascii="Garamond" w:hAnsi="Garamond"/>
          <w:noProof/>
          <w:sz w:val="24"/>
          <w:szCs w:val="24"/>
        </w:rPr>
        <w:t xml:space="preserve"> 1, no. 4 (2014): 11. doi:10.31604/justitia.v1i04.%25p.</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Pelu, Ibnu Elmi Achmat Slamat. “Fatwa Majelis Ulama Indonesia Sebagai Solusi Permasalahan Umat Islam Di Indonesia.” </w:t>
      </w:r>
      <w:r w:rsidRPr="00E3066F">
        <w:rPr>
          <w:rFonts w:ascii="Garamond" w:hAnsi="Garamond"/>
          <w:i/>
          <w:iCs/>
          <w:noProof/>
          <w:sz w:val="24"/>
          <w:szCs w:val="24"/>
        </w:rPr>
        <w:t>Al-Manahij: Jurnal Kajian Hukum Islam</w:t>
      </w:r>
      <w:r w:rsidRPr="00E3066F">
        <w:rPr>
          <w:rFonts w:ascii="Garamond" w:hAnsi="Garamond"/>
          <w:noProof/>
          <w:sz w:val="24"/>
          <w:szCs w:val="24"/>
        </w:rPr>
        <w:t xml:space="preserve"> 14, no. 2 (2020): 307–16. doi:0000-0002-9453-0672.</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Rusdi, Muhammad Ali. “Maslahat Sebagai Metode Ijtihad Dan Tujuan Utama Hukum Islam.” </w:t>
      </w:r>
      <w:r w:rsidRPr="00E3066F">
        <w:rPr>
          <w:rFonts w:ascii="Garamond" w:hAnsi="Garamond"/>
          <w:i/>
          <w:iCs/>
          <w:noProof/>
          <w:sz w:val="24"/>
          <w:szCs w:val="24"/>
        </w:rPr>
        <w:t>DIKTUM: Jurnal Syariah Dan Hukum</w:t>
      </w:r>
      <w:r w:rsidRPr="00E3066F">
        <w:rPr>
          <w:rFonts w:ascii="Garamond" w:hAnsi="Garamond"/>
          <w:noProof/>
          <w:sz w:val="24"/>
          <w:szCs w:val="24"/>
        </w:rPr>
        <w:t xml:space="preserve"> 15, no. 2 (2017): 151–68. doi:10.35905/diktum.v15i2.432.</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Solihin, Khabib, Siti Nur Ami’in, and Puji Lestari. “Maqashid Shariah Sebagai Alat Ukur Kinerja Bank Syariah Telaah Konsep Maqasid Sharia Index (Msi) Asy-Syatibi.” </w:t>
      </w:r>
      <w:r w:rsidRPr="00E3066F">
        <w:rPr>
          <w:rFonts w:ascii="Garamond" w:hAnsi="Garamond"/>
          <w:i/>
          <w:iCs/>
          <w:noProof/>
          <w:sz w:val="24"/>
          <w:szCs w:val="24"/>
        </w:rPr>
        <w:t>LAA MAISYIR : Jurnal Ekonomi Islam</w:t>
      </w:r>
      <w:r w:rsidRPr="00E3066F">
        <w:rPr>
          <w:rFonts w:ascii="Garamond" w:hAnsi="Garamond"/>
          <w:noProof/>
          <w:sz w:val="24"/>
          <w:szCs w:val="24"/>
        </w:rPr>
        <w:t xml:space="preserve"> 6, no. 2 (2019): 148–70. doi:10.24252/lamaisyir.v6i2.11790.</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Solihin, Muh, and Muhammad Yaasiin Raya. “Kedudukan E-Money Sebagai Alat Pembayaran Dalam Perspektif Hukum Islam.” </w:t>
      </w:r>
      <w:r w:rsidRPr="00E3066F">
        <w:rPr>
          <w:rFonts w:ascii="Garamond" w:hAnsi="Garamond"/>
          <w:i/>
          <w:iCs/>
          <w:noProof/>
          <w:sz w:val="24"/>
          <w:szCs w:val="24"/>
        </w:rPr>
        <w:t>El-Iqtishady: Jurnal Hukum Ekonomi Syari’ah</w:t>
      </w:r>
      <w:r w:rsidRPr="00E3066F">
        <w:rPr>
          <w:rFonts w:ascii="Garamond" w:hAnsi="Garamond"/>
          <w:noProof/>
          <w:sz w:val="24"/>
          <w:szCs w:val="24"/>
        </w:rPr>
        <w:t xml:space="preserve"> 3, no. 1 (2021): 106–25. doi:10.24252/el-iqthisadi.v3i1%20Juni.22142.</w:t>
      </w:r>
    </w:p>
    <w:p w:rsidR="0056049F" w:rsidRPr="0056049F" w:rsidRDefault="0056049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Syamsuddīin, Ḥatta, ’Abdul Khaliq, and Muḥammad Mu’īnudīnillāh. “Daur </w:t>
      </w:r>
      <w:r w:rsidRPr="00E3066F">
        <w:rPr>
          <w:rFonts w:ascii="Garamond" w:hAnsi="Garamond"/>
          <w:noProof/>
          <w:sz w:val="24"/>
          <w:szCs w:val="24"/>
        </w:rPr>
        <w:lastRenderedPageBreak/>
        <w:t xml:space="preserve">Haiah Al-Waṭaniyah Fī Ar-Riqabah Asy-Syar’iyyah ’ala Maṣārif Al-Islāmiyah Fī Dirasah Indūnisiya Wa Manhajuhā Fī Al-Fatwā: Dirāsah Waṣfiyah Tahlīliyah Naqdiyah.” </w:t>
      </w:r>
      <w:r w:rsidRPr="00E3066F">
        <w:rPr>
          <w:rFonts w:ascii="Garamond" w:hAnsi="Garamond"/>
          <w:i/>
          <w:iCs/>
          <w:noProof/>
          <w:sz w:val="24"/>
          <w:szCs w:val="24"/>
        </w:rPr>
        <w:t>Indonesian Journal of Islamic Literature and Muslim Society</w:t>
      </w:r>
      <w:r w:rsidRPr="00E3066F">
        <w:rPr>
          <w:rFonts w:ascii="Garamond" w:hAnsi="Garamond"/>
          <w:noProof/>
          <w:sz w:val="24"/>
          <w:szCs w:val="24"/>
        </w:rPr>
        <w:t xml:space="preserve"> 1, no. 2 (2016): 22. doi:10.22515/islimus.v1i2.499.</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Syarifuddin, Amir. </w:t>
      </w:r>
      <w:r w:rsidRPr="00E3066F">
        <w:rPr>
          <w:rFonts w:ascii="Garamond" w:hAnsi="Garamond"/>
          <w:i/>
          <w:iCs/>
          <w:noProof/>
          <w:sz w:val="24"/>
          <w:szCs w:val="24"/>
        </w:rPr>
        <w:t>Ushul Fiqh</w:t>
      </w:r>
      <w:r w:rsidRPr="00E3066F">
        <w:rPr>
          <w:rFonts w:ascii="Garamond" w:hAnsi="Garamond"/>
          <w:noProof/>
          <w:sz w:val="24"/>
          <w:szCs w:val="24"/>
        </w:rPr>
        <w:t>. Jilid II. Ciputat: PT Logos wacana Ilmu, 1999. https://pustakaaceh.perpusnas.go.id/detail-opac?id=19199.</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Tahmid, Khairuddin, Muhammad Zaki, and Haryanto H. “The Implementation of DSN-MUI Fatwa in Handling of Sharia Economic Problems (A Case at Bandar Lampung People’s Credit Bank [BPRS]).” </w:t>
      </w:r>
      <w:r w:rsidRPr="00E3066F">
        <w:rPr>
          <w:rFonts w:ascii="Garamond" w:hAnsi="Garamond"/>
          <w:i/>
          <w:iCs/>
          <w:noProof/>
          <w:sz w:val="24"/>
          <w:szCs w:val="24"/>
        </w:rPr>
        <w:t>Al-’Adalah</w:t>
      </w:r>
      <w:r w:rsidRPr="00E3066F">
        <w:rPr>
          <w:rFonts w:ascii="Garamond" w:hAnsi="Garamond"/>
          <w:noProof/>
          <w:sz w:val="24"/>
          <w:szCs w:val="24"/>
        </w:rPr>
        <w:t xml:space="preserve"> 16, no. 2 (2019): 263–85. doi:10.24042/adalah.v16i2.3520.</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Taimiyah, Ibn. </w:t>
      </w:r>
      <w:r w:rsidRPr="00E3066F">
        <w:rPr>
          <w:rFonts w:ascii="Garamond" w:hAnsi="Garamond"/>
          <w:i/>
          <w:iCs/>
          <w:noProof/>
          <w:sz w:val="24"/>
          <w:szCs w:val="24"/>
        </w:rPr>
        <w:t>Majmū’ Al-Fatāwā</w:t>
      </w:r>
      <w:r w:rsidRPr="00E3066F">
        <w:rPr>
          <w:rFonts w:ascii="Garamond" w:hAnsi="Garamond"/>
          <w:noProof/>
          <w:sz w:val="24"/>
          <w:szCs w:val="24"/>
        </w:rPr>
        <w:t>. Al-Madinah al-Munawwarah, Saudi Arabia: Majma’ al-Malik fahd liṭibā’ah al-muṣhaf asy-syarīf, 2003. https://al-maktaba.org/book/7289.</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Tarmizi, Erwandi. </w:t>
      </w:r>
      <w:r w:rsidRPr="00E3066F">
        <w:rPr>
          <w:rFonts w:ascii="Garamond" w:hAnsi="Garamond"/>
          <w:i/>
          <w:iCs/>
          <w:noProof/>
          <w:sz w:val="24"/>
          <w:szCs w:val="24"/>
        </w:rPr>
        <w:t>Harta Haram Muamalat Kontemporer</w:t>
      </w:r>
      <w:r w:rsidRPr="00E3066F">
        <w:rPr>
          <w:rFonts w:ascii="Garamond" w:hAnsi="Garamond"/>
          <w:noProof/>
          <w:sz w:val="24"/>
          <w:szCs w:val="24"/>
        </w:rPr>
        <w:t>. Jakarta: PT. Berkat Mulia Insani, 2013.</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Web, Islam. “At-Ta’wīl Aṣ-Ṣahīh Limaqūlah ‘Haiṡumā Takūna Al-Maṣlahah, Faṡamma Syar’ullah.’” </w:t>
      </w:r>
      <w:r w:rsidRPr="00E3066F">
        <w:rPr>
          <w:rFonts w:ascii="Garamond" w:hAnsi="Garamond"/>
          <w:i/>
          <w:iCs/>
          <w:noProof/>
          <w:sz w:val="24"/>
          <w:szCs w:val="24"/>
        </w:rPr>
        <w:t>Islamweb</w:t>
      </w:r>
      <w:r w:rsidRPr="00E3066F">
        <w:rPr>
          <w:rFonts w:ascii="Garamond" w:hAnsi="Garamond"/>
          <w:noProof/>
          <w:sz w:val="24"/>
          <w:szCs w:val="24"/>
        </w:rPr>
        <w:t>, 2013. https://www.islamweb.net/ar/fatwa/225697/</w:t>
      </w:r>
      <w:r w:rsidRPr="00E3066F">
        <w:rPr>
          <w:rFonts w:ascii="Garamond" w:hAnsi="Garamond"/>
          <w:noProof/>
          <w:sz w:val="24"/>
          <w:szCs w:val="24"/>
          <w:rtl/>
        </w:rPr>
        <w:t>التأويل-الصحيح-لمقولة-حيثما-تكون-المصلحة،-فثم-شرع-الله</w:t>
      </w:r>
      <w:r w:rsidRPr="00E3066F">
        <w:rPr>
          <w:rFonts w:ascii="Garamond" w:hAnsi="Garamond"/>
          <w:noProof/>
          <w:sz w:val="24"/>
          <w:szCs w:val="24"/>
        </w:rPr>
        <w:t>.</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Wulandari, Diah. “Praktik Penggunaan Dana Yang Tidak Boleh Diakui Sebagai Pendapatan (TBDSP) Di BMT Nurrohman Desa Janti Kecamatan Slahung Kabupaten Ponorogo Dalam Perspektif Fatwa DSN MUI No. 123/DSN-MUI/XI/2018.” IAIN Ponorogo, 2020. http://etheses.iainponorogo.ac.id/id/eprint/10442.</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Default="00E3066F"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r w:rsidRPr="00E3066F">
        <w:rPr>
          <w:rFonts w:ascii="Garamond" w:hAnsi="Garamond"/>
          <w:noProof/>
          <w:sz w:val="24"/>
          <w:szCs w:val="24"/>
        </w:rPr>
        <w:t xml:space="preserve">Yanti, Caroline Chiko Meyrisma. “Penerapan Fintech Syariah Dalam Pengembangan Ekonomi Islam.” </w:t>
      </w:r>
      <w:r w:rsidRPr="00E3066F">
        <w:rPr>
          <w:rFonts w:ascii="Garamond" w:hAnsi="Garamond"/>
          <w:i/>
          <w:iCs/>
          <w:noProof/>
          <w:sz w:val="24"/>
          <w:szCs w:val="24"/>
        </w:rPr>
        <w:t>El-Ecosy: Ekonomi Dan Keuangan Islam</w:t>
      </w:r>
      <w:r w:rsidRPr="00E3066F">
        <w:rPr>
          <w:rFonts w:ascii="Garamond" w:hAnsi="Garamond"/>
          <w:noProof/>
          <w:sz w:val="24"/>
          <w:szCs w:val="24"/>
        </w:rPr>
        <w:t xml:space="preserve"> 2, no. 1 (2022): 1–15. doi:10.35194/eeki.v2i1.1882.g1562.</w:t>
      </w:r>
    </w:p>
    <w:p w:rsidR="004A65FC" w:rsidRPr="004A65FC" w:rsidRDefault="004A65FC" w:rsidP="000D5261">
      <w:pPr>
        <w:widowControl w:val="0"/>
        <w:autoSpaceDE w:val="0"/>
        <w:autoSpaceDN w:val="0"/>
        <w:adjustRightInd w:val="0"/>
        <w:spacing w:after="0" w:line="240" w:lineRule="auto"/>
        <w:ind w:left="480" w:hanging="480"/>
        <w:jc w:val="both"/>
        <w:rPr>
          <w:rFonts w:ascii="Garamond" w:hAnsi="Garamond"/>
          <w:noProof/>
          <w:sz w:val="24"/>
          <w:szCs w:val="24"/>
          <w:lang w:val="en-US"/>
        </w:rPr>
      </w:pPr>
    </w:p>
    <w:p w:rsidR="00E3066F" w:rsidRPr="00E3066F" w:rsidRDefault="00E3066F" w:rsidP="000D5261">
      <w:pPr>
        <w:widowControl w:val="0"/>
        <w:autoSpaceDE w:val="0"/>
        <w:autoSpaceDN w:val="0"/>
        <w:adjustRightInd w:val="0"/>
        <w:spacing w:after="0" w:line="240" w:lineRule="auto"/>
        <w:ind w:left="480" w:hanging="480"/>
        <w:jc w:val="both"/>
        <w:rPr>
          <w:rFonts w:ascii="Garamond" w:hAnsi="Garamond"/>
          <w:noProof/>
          <w:sz w:val="24"/>
        </w:rPr>
      </w:pPr>
      <w:r w:rsidRPr="00E3066F">
        <w:rPr>
          <w:rFonts w:ascii="Garamond" w:hAnsi="Garamond"/>
          <w:noProof/>
          <w:sz w:val="24"/>
          <w:szCs w:val="24"/>
        </w:rPr>
        <w:t xml:space="preserve">Yulianto, Rohmad Adi. “Kebijakan Penanganan Pengungsi Di Indonesia Perspektif Maqasid Al-Syari’ah.” </w:t>
      </w:r>
      <w:r w:rsidRPr="00E3066F">
        <w:rPr>
          <w:rFonts w:ascii="Garamond" w:hAnsi="Garamond"/>
          <w:i/>
          <w:iCs/>
          <w:noProof/>
          <w:sz w:val="24"/>
          <w:szCs w:val="24"/>
        </w:rPr>
        <w:t>Al-Manahij: Jurnal Kajian Hukum Islam</w:t>
      </w:r>
      <w:r w:rsidRPr="00E3066F">
        <w:rPr>
          <w:rFonts w:ascii="Garamond" w:hAnsi="Garamond"/>
          <w:noProof/>
          <w:sz w:val="24"/>
          <w:szCs w:val="24"/>
        </w:rPr>
        <w:t xml:space="preserve"> 13, no. 2 (2019): 169-186. doi:10.24090/mnh.v13i2.2460.</w:t>
      </w:r>
    </w:p>
    <w:p w:rsidR="00F17153" w:rsidRPr="00F17153" w:rsidRDefault="00E52F0F" w:rsidP="00E27849">
      <w:pPr>
        <w:bidi/>
        <w:spacing w:after="0" w:line="240" w:lineRule="auto"/>
        <w:jc w:val="both"/>
        <w:rPr>
          <w:rFonts w:ascii="Garamond" w:hAnsi="Garamond"/>
          <w:sz w:val="24"/>
          <w:szCs w:val="24"/>
        </w:rPr>
      </w:pPr>
      <w:r w:rsidRPr="00AD2F33">
        <w:rPr>
          <w:rFonts w:ascii="Garamond" w:hAnsi="Garamond"/>
          <w:sz w:val="24"/>
          <w:szCs w:val="24"/>
          <w:rtl/>
        </w:rPr>
        <w:fldChar w:fldCharType="end"/>
      </w:r>
    </w:p>
    <w:sectPr w:rsidR="00F17153" w:rsidRPr="00F17153" w:rsidSect="009F6DED">
      <w:endnotePr>
        <w:numFmt w:val="decimal"/>
      </w:endnotePr>
      <w:type w:val="continuous"/>
      <w:pgSz w:w="11907" w:h="16839" w:code="9"/>
      <w:pgMar w:top="1440" w:right="1440" w:bottom="1440" w:left="1440" w:header="864" w:footer="576" w:gutter="0"/>
      <w:pgNumType w:start="156"/>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7014" w:rsidRDefault="00B97014" w:rsidP="00615B07">
      <w:pPr>
        <w:spacing w:after="0" w:line="240" w:lineRule="auto"/>
      </w:pPr>
    </w:p>
  </w:endnote>
  <w:endnote w:type="continuationSeparator" w:id="0">
    <w:p w:rsidR="00B97014" w:rsidRDefault="00B97014" w:rsidP="00615B07">
      <w:pPr>
        <w:spacing w:after="0" w:line="240" w:lineRule="auto"/>
      </w:pPr>
      <w:r>
        <w:continuationSeparator/>
      </w:r>
    </w:p>
  </w:endnote>
  <w:endnote w:id="1">
    <w:p w:rsidR="00B97014" w:rsidRPr="000D5261" w:rsidRDefault="00B97014" w:rsidP="00F22878">
      <w:pPr>
        <w:pStyle w:val="EndnoteText"/>
        <w:bidi/>
        <w:spacing w:before="240"/>
        <w:rPr>
          <w:rFonts w:ascii="Sakkal Majalla" w:hAnsi="Sakkal Majalla" w:cs="Sakkal Majalla"/>
          <w:b/>
          <w:bCs/>
          <w:sz w:val="26"/>
          <w:szCs w:val="26"/>
          <w:rtl/>
          <w:lang w:val="en-US"/>
        </w:rPr>
      </w:pPr>
      <w:r w:rsidRPr="000D5261">
        <w:rPr>
          <w:rFonts w:ascii="Sakkal Majalla" w:hAnsi="Sakkal Majalla" w:cs="Sakkal Majalla"/>
          <w:b/>
          <w:bCs/>
          <w:sz w:val="28"/>
          <w:szCs w:val="28"/>
          <w:rtl/>
          <w:lang w:val="en-US"/>
        </w:rPr>
        <w:t>الهوامش</w:t>
      </w:r>
      <w:r w:rsidRPr="000D5261">
        <w:rPr>
          <w:rFonts w:ascii="Sakkal Majalla" w:hAnsi="Sakkal Majalla" w:cs="Sakkal Majalla"/>
          <w:b/>
          <w:bCs/>
          <w:sz w:val="26"/>
          <w:szCs w:val="26"/>
          <w:rtl/>
          <w:lang w:val="en-US"/>
        </w:rPr>
        <w:t xml:space="preserve"> </w:t>
      </w:r>
    </w:p>
    <w:p w:rsidR="00B97014" w:rsidRPr="000D5261" w:rsidRDefault="00B97014" w:rsidP="00F22878">
      <w:pPr>
        <w:pStyle w:val="EndnoteText"/>
        <w:spacing w:before="240"/>
        <w:jc w:val="both"/>
        <w:rPr>
          <w:rFonts w:ascii="Garamond" w:hAnsi="Garamond"/>
          <w:noProof/>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{"citationItems":[{"id":"ITEM-1","itemData":{"DOI":"10.24090/mnh.v15i2.4641","abstract":"Risk management at Islamic financial institutions is still implementing bank Indonesia (BI) and Financial Services Authority (OJK) policies which previously applied the same to conventional financial institutions. The perfection of the enforcement of sharia principles in sharia financing institutions is not enough only in the aspect of transactional mechanisms, it needs to be supported by a sharia-based risk management system. The focus of this research includes the characteristics of Islamic financing, juridical aspects in the principle of prudence, and an overview of the maslahah of the urgency of sharia-based risk management. This research is normative legal research using a statutory approach and a benefits approach with a qualitative descriptive analysis. The results of the discussion show that a dynamic system also needs to be supported by juridical aspects to provide the legal force with the realization of regulatory solidity. At this regulatory level, in addition to the regulations issued by the OJK, the DSN-MUI fatwa is also very necessary and has a very urgent position. Because financing risk management is also part of the sharia economy that must maintain sharia principles, lest the application of sharia principles only exists in product technicalities, but does not apply to technical risk management. The expected sharia is the application of total sharia principles (kaffah), not partial ones.","author":[{"dropping-particle":"","family":"Hidayati","given":"Tri","non-dropping-particle":"","parse-names":false,"suffix":""}],"container-title":"Al-Manahij: Jurnal Kajian Hukum Islam","id":"ITEM-1","issue":"2","issued":{"date-parts":[["2021"]]},"page":"201-220","title":"Urgensi fatwa DSN-MUI mengenai manajemen risiko pembiayaan berbasis syariah","type":"article-journal","volume":"15"},"uris":["http://www.mendeley.com/documents/?uuid=b3531fc7-0b5e-418a-9ed4-dcc2601817e6"]}],"mendeley":{"formattedCitation":"Tri Hidayati, “Urgensi Fatwa DSN-MUI Mengenai Manajemen Risiko Pembiayaan Berbasis Syariah,” &lt;i&gt;Al-Manahij: Jurnal Kajian Hukum Islam&lt;/i&gt; 15, no. 2 (2021): 201–20, doi:10.24090/mnh.v15i2.4641.","plainTextFormattedCitation":"Tri Hidayati, “Urgensi Fatwa DSN-MUI Mengenai Manajemen Risiko Pembiayaan Berbasis Syariah,” Al-Manahij: Jurnal Kajian Hukum Islam 15, no. 2 (2021): 201–20, doi:10.24090/mnh.v15i2.4641.","previouslyFormattedCitation":"Tri Hidayati, “Urgensi Fatwa DSN-MUI Mengenai Manajemen Risiko Pembiayaan Berbasis Syariah,” &lt;i&gt;Al-Manahij: Jurnal Kajian Hukum Islam&lt;/i&gt; 15, no. 2 (2021): 201–20, doi:10.24090/mnh.v15i2.4641."},"properties":{"noteIndex":0},"schema":"https://github.com/citation-style-language/schema/raw/master/csl-citation.json"}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Tri H</w:t>
      </w:r>
      <w:r>
        <w:rPr>
          <w:rFonts w:ascii="Garamond" w:hAnsi="Garamond"/>
          <w:noProof/>
        </w:rPr>
        <w:t>idayati, “Urgensi Fatwa DSN-MUI</w:t>
      </w:r>
      <w:r>
        <w:rPr>
          <w:rFonts w:ascii="Garamond" w:hAnsi="Garamond" w:hint="cs"/>
          <w:noProof/>
          <w:rtl/>
        </w:rPr>
        <w:t xml:space="preserve"> </w:t>
      </w:r>
      <w:r w:rsidRPr="000D5261">
        <w:rPr>
          <w:rFonts w:ascii="Garamond" w:hAnsi="Garamond"/>
          <w:noProof/>
        </w:rPr>
        <w:t xml:space="preserve">Mengenai Manajemen Risiko Pembiayaan Berbasis Syariah,” </w:t>
      </w:r>
      <w:r w:rsidRPr="000D5261">
        <w:rPr>
          <w:rFonts w:ascii="Garamond" w:hAnsi="Garamond"/>
          <w:i/>
          <w:noProof/>
        </w:rPr>
        <w:t>Al-Manahij: Jurnal Kajian Hukum Islam</w:t>
      </w:r>
      <w:r w:rsidRPr="000D5261">
        <w:rPr>
          <w:rFonts w:ascii="Garamond" w:hAnsi="Garamond"/>
          <w:noProof/>
        </w:rPr>
        <w:t xml:space="preserve"> 15, no. 2 (2021): 201–20, doi:10.24090/mnh.v15i2.4641.</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2">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{"citationItems":[{"id":"ITEM-1","itemData":{"DOI":"10.22515/islimus.v1i2.499","abstract":"he emergence of Islamic banking was considered as a response to the desire of Muslim communities to disassociate rom usury (riba based) system. he development of time increasing the diversity of inancial transactions, both in trading and banking business, which has no provisions in the old sources of Islamic jurisprudence. his dangerous phenomenon was the reason for the importance of a Sharia Supervisory Board to ensure all of banking transactions comply with the rules and principles of sharia. his research focused on the role of National Sharia Board and his methodology in fatwa. his research uses analytical descriptive methodology. he limitations of this research were about: how the National Sharia Board played their roles in Indonesia and how the method applied by the National Sharia Board in issuing a fatwa. he research found that: the National Sharia Board in Indonesia has played their roles, especially in developing Islamic inance industry, ensuring inancial and banking transaction comply with the rules and principles of sharia, and providing awareness and guidance to the Muslim communities. he issuing of fatwa on inancial transactions was the authority of the National Sharia Board. he National Sharia Board hold on procedures, speciic steps, and certain agreed methodology in issuing fatwa. Nevertheless, there still some fatwas that caused controversy in the Islamic community","author":[{"dropping-particle":"","family":"Syamsuddīin","given":"</w:instrText>
      </w:r>
      <w:r w:rsidRPr="000D5261">
        <w:rPr>
          <w:rFonts w:ascii="Cambria" w:hAnsi="Cambria" w:cs="Cambria"/>
        </w:rPr>
        <w:instrText>Ḥ</w:instrText>
      </w:r>
      <w:r w:rsidRPr="000D5261">
        <w:rPr>
          <w:rFonts w:ascii="Garamond" w:hAnsi="Garamond"/>
        </w:rPr>
        <w:instrText>atta","non-dropping-particle":"","parse-names":false,"suffix":""},{"dropping-particle":"","family":"Khaliq","given":"'Abdul","non-dropping-particle":"","parse-names":false,"suffix":""},{"dropping-particle":"","family":"Mu'īnudīnillāh","given":"Mu</w:instrText>
      </w:r>
      <w:r w:rsidRPr="000D5261">
        <w:rPr>
          <w:rFonts w:ascii="Cambria" w:hAnsi="Cambria" w:cs="Cambria"/>
        </w:rPr>
        <w:instrText>ḥ</w:instrText>
      </w:r>
      <w:r w:rsidRPr="000D5261">
        <w:rPr>
          <w:rFonts w:ascii="Garamond" w:hAnsi="Garamond"/>
        </w:rPr>
        <w:instrText>ammad","non-dropping-particle":"","parse-names":false,"suffix":""}],"container-title":"Indonesian Journal of Islamic Literature and Muslim Society","id":"ITEM-1","issue":"2","issued":{"date-parts":[["2016"]]},"page":"22","title":"Daur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naqdiyah","type":"article-journal","volume":"1"},"uris":["http://www.mendeley.com/documents/?uuid=bd2e8bcf-1ff1-4d5d-a8ed-d466c248af6b"]}],"mendeley":{"formattedCitation":"</w:instrText>
      </w:r>
      <w:r w:rsidRPr="000D5261">
        <w:rPr>
          <w:rFonts w:ascii="Cambria" w:hAnsi="Cambria" w:cs="Cambria"/>
        </w:rPr>
        <w:instrText>Ḥ</w:instrText>
      </w:r>
      <w:r w:rsidRPr="000D5261">
        <w:rPr>
          <w:rFonts w:ascii="Garamond" w:hAnsi="Garamond"/>
        </w:rPr>
        <w:instrText>atta Syamsudd</w:instrText>
      </w:r>
      <w:r w:rsidRPr="000D5261">
        <w:rPr>
          <w:rFonts w:ascii="Garamond" w:hAnsi="Garamond" w:cs="Garamond"/>
        </w:rPr>
        <w:instrText>ī</w:instrText>
      </w:r>
      <w:r w:rsidRPr="000D5261">
        <w:rPr>
          <w:rFonts w:ascii="Garamond" w:hAnsi="Garamond"/>
        </w:rPr>
        <w:instrText xml:space="preserve">in, </w:instrText>
      </w:r>
      <w:r w:rsidRPr="000D5261">
        <w:rPr>
          <w:rFonts w:ascii="Garamond" w:hAnsi="Garamond" w:cs="Garamond"/>
        </w:rPr>
        <w:instrText>’</w:instrText>
      </w:r>
      <w:r w:rsidRPr="000D5261">
        <w:rPr>
          <w:rFonts w:ascii="Garamond" w:hAnsi="Garamond"/>
        </w:rPr>
        <w:instrText>Abdul Khaliq, and Mu</w:instrText>
      </w:r>
      <w:r w:rsidRPr="000D5261">
        <w:rPr>
          <w:rFonts w:ascii="Cambria" w:hAnsi="Cambria" w:cs="Cambria"/>
        </w:rPr>
        <w:instrText>ḥ</w:instrText>
      </w:r>
      <w:r w:rsidRPr="000D5261">
        <w:rPr>
          <w:rFonts w:ascii="Garamond" w:hAnsi="Garamond"/>
        </w:rPr>
        <w:instrText>ammad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 xml:space="preserve">iyyah </w:instrText>
      </w:r>
      <w:r w:rsidRPr="000D5261">
        <w:rPr>
          <w:rFonts w:ascii="Garamond" w:hAnsi="Garamond" w:cs="Garamond"/>
        </w:rPr>
        <w:instrText>’</w:instrText>
      </w:r>
      <w:r w:rsidRPr="000D5261">
        <w:rPr>
          <w:rFonts w:ascii="Garamond" w:hAnsi="Garamond"/>
        </w:rPr>
        <w:instrText>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Manhajuhā Fī Al-Fatwā: Dirāsah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 xml:space="preserve"> &lt;i&gt;Indonesian Journal of Islamic Literature and Muslim Society&lt;/i&gt; 1, no. 2 (2016): 22, doi:10.22515/islimus.v1i2.499.","plainTextFormattedCitation":"</w:instrText>
      </w:r>
      <w:r w:rsidRPr="000D5261">
        <w:rPr>
          <w:rFonts w:ascii="Cambria" w:hAnsi="Cambria" w:cs="Cambria"/>
        </w:rPr>
        <w:instrText>Ḥ</w:instrText>
      </w:r>
      <w:r w:rsidRPr="000D5261">
        <w:rPr>
          <w:rFonts w:ascii="Garamond" w:hAnsi="Garamond"/>
        </w:rPr>
        <w:instrText>atta Syamsudd</w:instrText>
      </w:r>
      <w:r w:rsidRPr="000D5261">
        <w:rPr>
          <w:rFonts w:ascii="Garamond" w:hAnsi="Garamond" w:cs="Garamond"/>
        </w:rPr>
        <w:instrText>ī</w:instrText>
      </w:r>
      <w:r w:rsidRPr="000D5261">
        <w:rPr>
          <w:rFonts w:ascii="Garamond" w:hAnsi="Garamond"/>
        </w:rPr>
        <w:instrText xml:space="preserve">in, </w:instrText>
      </w:r>
      <w:r w:rsidRPr="000D5261">
        <w:rPr>
          <w:rFonts w:ascii="Garamond" w:hAnsi="Garamond" w:cs="Garamond"/>
        </w:rPr>
        <w:instrText>’</w:instrText>
      </w:r>
      <w:r w:rsidRPr="000D5261">
        <w:rPr>
          <w:rFonts w:ascii="Garamond" w:hAnsi="Garamond"/>
        </w:rPr>
        <w:instrText>Abdul Khaliq, and Mu</w:instrText>
      </w:r>
      <w:r w:rsidRPr="000D5261">
        <w:rPr>
          <w:rFonts w:ascii="Cambria" w:hAnsi="Cambria" w:cs="Cambria"/>
        </w:rPr>
        <w:instrText>ḥ</w:instrText>
      </w:r>
      <w:r w:rsidRPr="000D5261">
        <w:rPr>
          <w:rFonts w:ascii="Garamond" w:hAnsi="Garamond"/>
        </w:rPr>
        <w:instrText>ammad Mu</w:instrText>
      </w:r>
      <w:r w:rsidRPr="000D5261">
        <w:rPr>
          <w:rFonts w:ascii="Garamond" w:hAnsi="Garamond" w:cs="Garamond"/>
        </w:rPr>
        <w:instrText>’ī</w:instrText>
      </w:r>
      <w:r w:rsidRPr="000D5261">
        <w:rPr>
          <w:rFonts w:ascii="Garamond" w:hAnsi="Garamond"/>
        </w:rPr>
        <w:instrText>nudīnillāh, “Daur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 xml:space="preserve">iyyah </w:instrText>
      </w:r>
      <w:r w:rsidRPr="000D5261">
        <w:rPr>
          <w:rFonts w:ascii="Garamond" w:hAnsi="Garamond" w:cs="Garamond"/>
        </w:rPr>
        <w:instrText>’</w:instrText>
      </w:r>
      <w:r w:rsidRPr="000D5261">
        <w:rPr>
          <w:rFonts w:ascii="Garamond" w:hAnsi="Garamond"/>
        </w:rPr>
        <w:instrText>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 xml:space="preserve"> Indonesian Journal of Islamic Literature and Muslim Society 1, no. 2 (2016): 22, doi:10.22515/islimus.v1i2.499.","previouslyFormattedCitation":"</w:instrText>
      </w:r>
      <w:r w:rsidRPr="000D5261">
        <w:rPr>
          <w:rFonts w:ascii="Cambria" w:hAnsi="Cambria" w:cs="Cambria"/>
        </w:rPr>
        <w:instrText>Ḥ</w:instrText>
      </w:r>
      <w:r w:rsidRPr="000D5261">
        <w:rPr>
          <w:rFonts w:ascii="Garamond" w:hAnsi="Garamond"/>
        </w:rPr>
        <w:instrText>atta Syamsudd</w:instrText>
      </w:r>
      <w:r w:rsidRPr="000D5261">
        <w:rPr>
          <w:rFonts w:ascii="Garamond" w:hAnsi="Garamond" w:cs="Garamond"/>
        </w:rPr>
        <w:instrText>ī</w:instrText>
      </w:r>
      <w:r w:rsidRPr="000D5261">
        <w:rPr>
          <w:rFonts w:ascii="Garamond" w:hAnsi="Garamond"/>
        </w:rPr>
        <w:instrText xml:space="preserve">in, </w:instrText>
      </w:r>
      <w:r w:rsidRPr="000D5261">
        <w:rPr>
          <w:rFonts w:ascii="Garamond" w:hAnsi="Garamond" w:cs="Garamond"/>
        </w:rPr>
        <w:instrText>’</w:instrText>
      </w:r>
      <w:r w:rsidRPr="000D5261">
        <w:rPr>
          <w:rFonts w:ascii="Garamond" w:hAnsi="Garamond"/>
        </w:rPr>
        <w:instrText>Abdul Khaliq, and Mu</w:instrText>
      </w:r>
      <w:r w:rsidRPr="000D5261">
        <w:rPr>
          <w:rFonts w:ascii="Cambria" w:hAnsi="Cambria" w:cs="Cambria"/>
        </w:rPr>
        <w:instrText>ḥ</w:instrText>
      </w:r>
      <w:r w:rsidRPr="000D5261">
        <w:rPr>
          <w:rFonts w:ascii="Garamond" w:hAnsi="Garamond"/>
        </w:rPr>
        <w:instrText>ammad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 xml:space="preserve">iyyah </w:instrText>
      </w:r>
      <w:r w:rsidRPr="000D5261">
        <w:rPr>
          <w:rFonts w:ascii="Garamond" w:hAnsi="Garamond" w:cs="Garamond"/>
        </w:rPr>
        <w:instrText>’</w:instrText>
      </w:r>
      <w:r w:rsidRPr="000D5261">
        <w:rPr>
          <w:rFonts w:ascii="Garamond" w:hAnsi="Garamond"/>
        </w:rPr>
        <w:instrText>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Dirāsah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 xml:space="preserve"> &lt;i&gt;Indonesian Journal of Islamic Literature and Muslim Society&lt;/i&gt; 1, no. 2 (2016): 22, doi:10.22515/islimus.v1i2.499."},"properties":{"noteIndex":0},"schema":"https://github.com/citation-style-language/schema/raw/master/csl-citation.json"}</w:instrText>
      </w:r>
      <w:r w:rsidRPr="000D5261">
        <w:rPr>
          <w:rFonts w:ascii="Garamond" w:hAnsi="Garamond"/>
        </w:rPr>
        <w:fldChar w:fldCharType="separate"/>
      </w:r>
      <w:r w:rsidRPr="000D5261">
        <w:rPr>
          <w:rFonts w:ascii="Cambria" w:hAnsi="Cambria" w:cs="Cambria"/>
          <w:noProof/>
        </w:rPr>
        <w:t>Ḥ</w:t>
      </w:r>
      <w:r w:rsidRPr="000D5261">
        <w:rPr>
          <w:rFonts w:ascii="Garamond" w:hAnsi="Garamond"/>
          <w:noProof/>
        </w:rPr>
        <w:t>atta Syamsudd</w:t>
      </w:r>
      <w:r w:rsidRPr="000D5261">
        <w:rPr>
          <w:rFonts w:ascii="Garamond" w:hAnsi="Garamond" w:cs="Garamond"/>
          <w:noProof/>
        </w:rPr>
        <w:t>ī</w:t>
      </w:r>
      <w:r w:rsidRPr="000D5261">
        <w:rPr>
          <w:rFonts w:ascii="Garamond" w:hAnsi="Garamond"/>
          <w:noProof/>
        </w:rPr>
        <w:t xml:space="preserve">in, </w:t>
      </w:r>
      <w:r w:rsidRPr="000D5261">
        <w:rPr>
          <w:rFonts w:ascii="Garamond" w:hAnsi="Garamond" w:cs="Garamond"/>
          <w:noProof/>
        </w:rPr>
        <w:t>’</w:t>
      </w:r>
      <w:r w:rsidRPr="000D5261">
        <w:rPr>
          <w:rFonts w:ascii="Garamond" w:hAnsi="Garamond"/>
          <w:noProof/>
        </w:rPr>
        <w:t>Abdul Khaliq, and Mu</w:t>
      </w:r>
      <w:r w:rsidRPr="000D5261">
        <w:rPr>
          <w:rFonts w:ascii="Cambria" w:hAnsi="Cambria" w:cs="Cambria"/>
          <w:noProof/>
        </w:rPr>
        <w:t>ḥ</w:t>
      </w:r>
      <w:r w:rsidRPr="000D5261">
        <w:rPr>
          <w:rFonts w:ascii="Garamond" w:hAnsi="Garamond"/>
          <w:noProof/>
        </w:rPr>
        <w:t>ammad Mu</w:t>
      </w:r>
      <w:r w:rsidRPr="000D5261">
        <w:rPr>
          <w:rFonts w:ascii="Garamond" w:hAnsi="Garamond" w:cs="Garamond"/>
          <w:noProof/>
        </w:rPr>
        <w:t>’ī</w:t>
      </w:r>
      <w:r w:rsidRPr="000D5261">
        <w:rPr>
          <w:rFonts w:ascii="Garamond" w:hAnsi="Garamond"/>
          <w:noProof/>
        </w:rPr>
        <w:t>nud</w:t>
      </w:r>
      <w:r w:rsidRPr="000D5261">
        <w:rPr>
          <w:rFonts w:ascii="Garamond" w:hAnsi="Garamond" w:cs="Garamond"/>
          <w:noProof/>
        </w:rPr>
        <w:t>ī</w:t>
      </w:r>
      <w:r w:rsidRPr="000D5261">
        <w:rPr>
          <w:rFonts w:ascii="Garamond" w:hAnsi="Garamond"/>
          <w:noProof/>
        </w:rPr>
        <w:t>nill</w:t>
      </w:r>
      <w:r w:rsidRPr="000D5261">
        <w:rPr>
          <w:rFonts w:ascii="Garamond" w:hAnsi="Garamond" w:cs="Garamond"/>
          <w:noProof/>
        </w:rPr>
        <w:t>ā</w:t>
      </w:r>
      <w:r w:rsidRPr="000D5261">
        <w:rPr>
          <w:rFonts w:ascii="Garamond" w:hAnsi="Garamond"/>
          <w:noProof/>
        </w:rPr>
        <w:t xml:space="preserve">h, </w:t>
      </w:r>
      <w:r w:rsidRPr="000D5261">
        <w:rPr>
          <w:rFonts w:ascii="Garamond" w:hAnsi="Garamond" w:cs="Garamond"/>
          <w:noProof/>
        </w:rPr>
        <w:t>“</w:t>
      </w:r>
      <w:r w:rsidRPr="000D5261">
        <w:rPr>
          <w:rFonts w:ascii="Garamond" w:hAnsi="Garamond"/>
          <w:noProof/>
        </w:rPr>
        <w:t>Daur Haiah Al-Wa</w:t>
      </w:r>
      <w:r w:rsidRPr="000D5261">
        <w:rPr>
          <w:rFonts w:ascii="Cambria" w:hAnsi="Cambria" w:cs="Cambria"/>
          <w:noProof/>
        </w:rPr>
        <w:t>ṭ</w:t>
      </w:r>
      <w:r w:rsidRPr="000D5261">
        <w:rPr>
          <w:rFonts w:ascii="Garamond" w:hAnsi="Garamond"/>
          <w:noProof/>
        </w:rPr>
        <w:t>aniyah F</w:t>
      </w:r>
      <w:r w:rsidRPr="000D5261">
        <w:rPr>
          <w:rFonts w:ascii="Garamond" w:hAnsi="Garamond" w:cs="Garamond"/>
          <w:noProof/>
        </w:rPr>
        <w:t>ī</w:t>
      </w:r>
      <w:r w:rsidRPr="000D5261">
        <w:rPr>
          <w:rFonts w:ascii="Garamond" w:hAnsi="Garamond"/>
          <w:noProof/>
        </w:rPr>
        <w:t xml:space="preserve"> Ar-Riqabah Asy-Syar</w:t>
      </w:r>
      <w:r w:rsidRPr="000D5261">
        <w:rPr>
          <w:rFonts w:ascii="Garamond" w:hAnsi="Garamond" w:cs="Garamond"/>
          <w:noProof/>
        </w:rPr>
        <w:t>’</w:t>
      </w:r>
      <w:r w:rsidRPr="000D5261">
        <w:rPr>
          <w:rFonts w:ascii="Garamond" w:hAnsi="Garamond"/>
          <w:noProof/>
        </w:rPr>
        <w:t xml:space="preserve">iyyah </w:t>
      </w:r>
      <w:r w:rsidRPr="000D5261">
        <w:rPr>
          <w:rFonts w:ascii="Garamond" w:hAnsi="Garamond" w:cs="Garamond"/>
          <w:noProof/>
        </w:rPr>
        <w:t>’</w:t>
      </w:r>
      <w:r w:rsidRPr="000D5261">
        <w:rPr>
          <w:rFonts w:ascii="Garamond" w:hAnsi="Garamond"/>
          <w:noProof/>
        </w:rPr>
        <w:t>ala Ma</w:t>
      </w:r>
      <w:r w:rsidRPr="000D5261">
        <w:rPr>
          <w:rFonts w:ascii="Cambria" w:hAnsi="Cambria" w:cs="Cambria"/>
          <w:noProof/>
        </w:rPr>
        <w:t>ṣ</w:t>
      </w:r>
      <w:r w:rsidRPr="000D5261">
        <w:rPr>
          <w:rFonts w:ascii="Garamond" w:hAnsi="Garamond" w:cs="Garamond"/>
          <w:noProof/>
        </w:rPr>
        <w:t>ā</w:t>
      </w:r>
      <w:r w:rsidRPr="000D5261">
        <w:rPr>
          <w:rFonts w:ascii="Garamond" w:hAnsi="Garamond"/>
          <w:noProof/>
        </w:rPr>
        <w:t>rif Al-Isl</w:t>
      </w:r>
      <w:r w:rsidRPr="000D5261">
        <w:rPr>
          <w:rFonts w:ascii="Garamond" w:hAnsi="Garamond" w:cs="Garamond"/>
          <w:noProof/>
        </w:rPr>
        <w:t>ā</w:t>
      </w:r>
      <w:r w:rsidRPr="000D5261">
        <w:rPr>
          <w:rFonts w:ascii="Garamond" w:hAnsi="Garamond"/>
          <w:noProof/>
        </w:rPr>
        <w:t>miyah F</w:t>
      </w:r>
      <w:r w:rsidRPr="000D5261">
        <w:rPr>
          <w:rFonts w:ascii="Garamond" w:hAnsi="Garamond" w:cs="Garamond"/>
          <w:noProof/>
        </w:rPr>
        <w:t>ī</w:t>
      </w:r>
      <w:r w:rsidRPr="000D5261">
        <w:rPr>
          <w:rFonts w:ascii="Garamond" w:hAnsi="Garamond"/>
          <w:noProof/>
        </w:rPr>
        <w:t xml:space="preserve"> Dirasah Ind</w:t>
      </w:r>
      <w:r w:rsidRPr="000D5261">
        <w:rPr>
          <w:rFonts w:ascii="Garamond" w:hAnsi="Garamond" w:cs="Garamond"/>
          <w:noProof/>
        </w:rPr>
        <w:t>ū</w:t>
      </w:r>
      <w:r w:rsidRPr="000D5261">
        <w:rPr>
          <w:rFonts w:ascii="Garamond" w:hAnsi="Garamond"/>
          <w:noProof/>
        </w:rPr>
        <w:t>nisiya Wa Manhajuh</w:t>
      </w:r>
      <w:r w:rsidRPr="000D5261">
        <w:rPr>
          <w:rFonts w:ascii="Garamond" w:hAnsi="Garamond" w:cs="Garamond"/>
          <w:noProof/>
        </w:rPr>
        <w:t>ā</w:t>
      </w:r>
      <w:r w:rsidRPr="000D5261">
        <w:rPr>
          <w:rFonts w:ascii="Garamond" w:hAnsi="Garamond"/>
          <w:noProof/>
        </w:rPr>
        <w:t xml:space="preserve"> F</w:t>
      </w:r>
      <w:r w:rsidRPr="000D5261">
        <w:rPr>
          <w:rFonts w:ascii="Garamond" w:hAnsi="Garamond" w:cs="Garamond"/>
          <w:noProof/>
        </w:rPr>
        <w:t>ī</w:t>
      </w:r>
      <w:r w:rsidRPr="000D5261">
        <w:rPr>
          <w:rFonts w:ascii="Garamond" w:hAnsi="Garamond"/>
          <w:noProof/>
        </w:rPr>
        <w:t xml:space="preserve"> Al-Fatw</w:t>
      </w:r>
      <w:r w:rsidRPr="000D5261">
        <w:rPr>
          <w:rFonts w:ascii="Garamond" w:hAnsi="Garamond" w:cs="Garamond"/>
          <w:noProof/>
        </w:rPr>
        <w:t>ā</w:t>
      </w:r>
      <w:r w:rsidRPr="000D5261">
        <w:rPr>
          <w:rFonts w:ascii="Garamond" w:hAnsi="Garamond"/>
          <w:noProof/>
        </w:rPr>
        <w:t>: Dir</w:t>
      </w:r>
      <w:r w:rsidRPr="000D5261">
        <w:rPr>
          <w:rFonts w:ascii="Garamond" w:hAnsi="Garamond" w:cs="Garamond"/>
          <w:noProof/>
        </w:rPr>
        <w:t>ā</w:t>
      </w:r>
      <w:r w:rsidRPr="000D5261">
        <w:rPr>
          <w:rFonts w:ascii="Garamond" w:hAnsi="Garamond"/>
          <w:noProof/>
        </w:rPr>
        <w:t>sah Wa</w:t>
      </w:r>
      <w:r w:rsidRPr="000D5261">
        <w:rPr>
          <w:rFonts w:ascii="Cambria" w:hAnsi="Cambria" w:cs="Cambria"/>
          <w:noProof/>
        </w:rPr>
        <w:t>ṣ</w:t>
      </w:r>
      <w:r w:rsidRPr="000D5261">
        <w:rPr>
          <w:rFonts w:ascii="Garamond" w:hAnsi="Garamond"/>
          <w:noProof/>
        </w:rPr>
        <w:t>fiyah Tahl</w:t>
      </w:r>
      <w:r w:rsidRPr="000D5261">
        <w:rPr>
          <w:rFonts w:ascii="Garamond" w:hAnsi="Garamond" w:cs="Garamond"/>
          <w:noProof/>
        </w:rPr>
        <w:t>ī</w:t>
      </w:r>
      <w:r w:rsidRPr="000D5261">
        <w:rPr>
          <w:rFonts w:ascii="Garamond" w:hAnsi="Garamond"/>
          <w:noProof/>
        </w:rPr>
        <w:t>liyah Naqdiyah,</w:t>
      </w:r>
      <w:r w:rsidRPr="000D5261">
        <w:rPr>
          <w:rFonts w:ascii="Garamond" w:hAnsi="Garamond" w:cs="Garamond"/>
          <w:noProof/>
        </w:rPr>
        <w:t>”</w:t>
      </w:r>
      <w:r w:rsidRPr="000D5261">
        <w:rPr>
          <w:rFonts w:ascii="Garamond" w:hAnsi="Garamond"/>
          <w:noProof/>
        </w:rPr>
        <w:t xml:space="preserve"> </w:t>
      </w:r>
      <w:r w:rsidRPr="000D5261">
        <w:rPr>
          <w:rFonts w:ascii="Garamond" w:hAnsi="Garamond"/>
          <w:i/>
          <w:noProof/>
        </w:rPr>
        <w:t>Indonesian Journal of Islamic Literature and Muslim Society</w:t>
      </w:r>
      <w:r w:rsidRPr="000D5261">
        <w:rPr>
          <w:rFonts w:ascii="Garamond" w:hAnsi="Garamond"/>
          <w:noProof/>
        </w:rPr>
        <w:t xml:space="preserve"> 1, no. 2 (2016): 22, doi:10.22515/islimus.v1i2.499.</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3">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{"citationItems":[{"id":"ITEM-1","itemData":{"author":[{"dropping-particle":"","family":"Hadi","given":"Imam Abdul","non-dropping-particle":"","parse-names":false,"suffix":""}],"container-title":"Economic: Journal of Economic and Islamic Law","id":"ITEM-1","issue":"2","issued":{"date-parts":[["2013"]]},"page":"1-13","title":"Kedudukan dan wewenang lembaga fatwa (DSN MUI) pada Bank Syariah","type":"article-journal","volume":"1"},"uris":["http://www.mendeley.com/documents/?uuid=f8ea9a8c-0c32-49d2-b019-fe04d50122f4"]}],"mendeley":{"formattedCitation":"Imam Abdul Hadi, “Kedudukan Dan Wewenang Lembaga Fatwa (DSN MUI) Pada Bank Syariah,” &lt;i&gt;Economic: Journal of Economic and Islamic Law&lt;/i&gt; 1, no. 2 (2013): 1–13, https://onesearch.id/Record/IOS2830.article-796.","plainTextFormattedCitation":"Imam Abdul Hadi, “Kedudukan Dan Wewenang Lembaga Fatwa (DSN MUI) Pada Bank Syariah,” Economic: Journal of Economic and Islamic Law 1, no. 2 (2013): 1–13, https://onesearch.id/Record/IOS2830.article-796.","previouslyFormattedCitation":"Imam Abdul Hadi, “Kedudukan Dan Wewenang Lembaga Fatwa (DSN MUI) Pada Bank Syariah,” &lt;i&gt;Economic: Journal of Economic and Islamic Law&lt;/i&gt; 1, no. 2 (2013): 1–13, https://onesearch.id/Record/IOS2830.article-796."},"properties":{"noteIndex":0},"schema":"https://github.com/citation-style-language/schema/raw/master/csl-citation.json"}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Imam Abdul Hadi, “Kedudukan Dan Wewenang Lembaga Fatwa (DSN MUI) Pada Bank Syariah,” </w:t>
      </w:r>
      <w:r w:rsidRPr="000D5261">
        <w:rPr>
          <w:rFonts w:ascii="Garamond" w:hAnsi="Garamond"/>
          <w:i/>
          <w:noProof/>
        </w:rPr>
        <w:t>Economic: Journal of Economic and Islamic Law</w:t>
      </w:r>
      <w:r w:rsidRPr="000D5261">
        <w:rPr>
          <w:rFonts w:ascii="Garamond" w:hAnsi="Garamond"/>
          <w:noProof/>
        </w:rPr>
        <w:t xml:space="preserve"> 1, no. 2 (2013): 1–13, https://onesearch.id/Record/IOS2830.article-796.</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{"citationItems":[{"id":"ITEM-1","itemData":{"URL":"https://dsnmui.or.id/kami/sekilas/","accessed":{"date-parts":[["2021","7","13"]]},"author":[{"dropping-particle":"","family":"Indonesia","given":"Dewan Syariah Nasional – Majelis Ulama","non-dropping-particle":"","parse-names":false,"suffix":""}],"container-title":"https://dsnmui.or.id","id":"ITEM-1","issued":{"date-parts":[["0"]]},"title":"Sekilas tentang DSN-MUI","type":"webpage"},"uris":["http://www.mendeley.com/documents/?uuid=6b19a95b-c945-4815-9af8-086aff9b7002"]}],"mendeley":{"formattedCitation":"Dewan Syariah Nasional – Majelis Ulama Indonesia, “Sekilas Tentang DSN-MUI,” &lt;i&gt;Https://Dsnmui.or.Id&lt;/i&gt;, accessed July 13, 2021, https://dsnmui.or.id/kami/sekilas/.","plainTextFormattedCitation":"Dewan Syariah Nasional – Majelis Ulama Indonesia, “Sekilas Tentang DSN-MUI,” Https://Dsnmui.or.Id, accessed July 13, 2021, https://dsnmui.or.id/kami/sekilas/.","previouslyFormattedCitation":"Dewan Syariah Nasional – Majelis Ulama Indonesia, “Sekilas Tentang DSN-MUI,” &lt;i&gt;Https://Dsnmui.or.Id&lt;/i&gt;, accessed July 13, 2021, https://dsnmui.or.id/kami/sekilas/."},"properties":{"noteIndex":0},"schema":"https://github.com/citation-style-language/schema/raw/master/csl-citation.json"}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Dewan Syariah Nasional – Majelis Ulama Indonesia, “Sekilas Tentang DSN-MUI,” </w:t>
      </w:r>
      <w:r w:rsidRPr="000D5261">
        <w:rPr>
          <w:rFonts w:ascii="Garamond" w:hAnsi="Garamond"/>
          <w:i/>
          <w:noProof/>
        </w:rPr>
        <w:t>Https://Dsnmui.or.Id</w:t>
      </w:r>
      <w:r w:rsidRPr="000D5261">
        <w:rPr>
          <w:rFonts w:ascii="Garamond" w:hAnsi="Garamond"/>
          <w:noProof/>
        </w:rPr>
        <w:t>, accessed July 13, 2021, https://dsnmui.or.id/kami/sekilas/.</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
    <w:p w:rsidR="00B97014" w:rsidRPr="000D5261" w:rsidRDefault="00B97014" w:rsidP="004A1695">
      <w:pPr>
        <w:pStyle w:val="EndnoteText"/>
        <w:jc w:val="both"/>
        <w:rPr>
          <w:rFonts w:ascii="Garamond" w:hAnsi="Garamond"/>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{"citationItems":[{"id":"ITEM-1","itemData":{"DOI":"10.24090/mnh.v15i2.4641","abstract":"Risk management at Islamic financial institutions is still implementing bank Indonesia (BI) and Financial Services Authority (OJK) policies which previously applied the same to conventional financial institutions. The perfection of the enforcement of sharia principles in sharia financing institutions is not enough only in the aspect of transactional mechanisms, it needs to be supported by a sharia-based risk management system. The focus of this research includes the characteristics of Islamic financing, juridical aspects in the principle of prudence, and an overview of the maslahah of the urgency of sharia-based risk management. This research is normative legal research using a statutory approach and a benefits approach with a qualitative descriptive analysis. The results of the discussion show that a dynamic system also needs to be supported by juridical aspects to provide the legal force with the realization of regulatory solidity. At this regulatory level, in addition to the regulations issued by the OJK, the DSN-MUI fatwa is also very necessary and has a very urgent position. Because financing risk management is also part of the sharia economy that must maintain sharia principles, lest the application of sharia principles only exists in product technicalities, but does not apply to technical risk management. The expected sharia is the application of total sharia principles (kaffah), not partial ones.","author":[{"dropping-particle":"","family":"Hidayati","given":"Tri","non-dropping-particle":"","parse-names":false,"suffix":""}],"container-title":"Al-Manahij: Jurnal Kajian Hukum Islam","id":"ITEM-1","issue":"2","issued":{"date-parts":[["2021"]]},"page":"201-220","title":"Urgensi fatwa DSN-MUI mengenai manajemen risiko pembiayaan berbasis syariah","type":"article-journal","volume":"15"},"uris":["http://www.mendeley.com/documents/?uuid=b3531fc7-0b5e-418a-9ed4-dcc2601817e6"]}],"mendeley":{"formattedCitation":"Hidayati, “Urgensi Fatwa DSN-MUI Mengenai Manajemen Risiko Pembiayaan Berbasis Syariah.”","plainTextFormattedCitation":"Hidayati, “Urgensi Fatwa DSN-MUI Mengenai Manajemen Risiko Pembiayaan Berbasis Syariah.”","previouslyFormattedCitation":"Hidayati, “Urgensi Fatwa DSN-MUI Mengenai Manajemen Risiko Pembiayaan Berbasis Syariah.”"},"properties":{"noteIndex":0},"schema":"https://github.com/citation-style-language/schema/raw/master/csl-citation.json"}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Hidayati, “Urgensi Fatwa DSN-MUI Mengenai Manajemen Risiko Pembiayaan Berbasis Syariah.”</w:t>
      </w:r>
      <w:r w:rsidRPr="000D5261">
        <w:rPr>
          <w:rFonts w:ascii="Garamond" w:hAnsi="Garamond"/>
        </w:rPr>
        <w:fldChar w:fldCharType="end"/>
      </w:r>
    </w:p>
  </w:endnote>
  <w:endnote w:id="6">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t xml:space="preserve"> </w:t>
      </w:r>
      <w:r w:rsidRPr="000D5261">
        <w:rPr>
          <w:rFonts w:ascii="Garamond" w:hAnsi="Garamond"/>
        </w:rPr>
        <w:fldChar w:fldCharType="begin" w:fldLock="1"/>
      </w:r>
      <w:r w:rsidRPr="000D5261">
        <w:rPr>
          <w:rFonts w:ascii="Garamond" w:hAnsi="Garamond"/>
        </w:rPr>
        <w:instrText>ADDIN CSL_CITATION {"citationItems":[{"id":"ITEM-1","itemData":{"author":[{"dropping-particle":"","family":"Tarmizi","given":"Erwandi","non-dropping-particle":"","parse-names":false,"suffix":""}],"id":"ITEM-1","issued":{"date-parts":[["2013"]]},"number-of-pages":"437","publisher":"PT. Berkat Mulia Insani","publisher-place":"Jakarta","title":"Harta haram muamalat kontemporer","type":"book"},"uris":["http://www.mendeley.com/documents/?uuid=98b9ef82-5749-48c5-ab18-9111543743f6"]}],"mendeley":{"formattedCitation":"Erwandi Tarmizi, &lt;i&gt;Harta Haram Muamalat Kontemporer&lt;/i&gt; (Jakarta: PT. Berkat Mulia Insani, 2013).","plainTextFormattedCitation":"Erwandi Tarmizi, Harta Haram Muamalat Kontemporer (Jakarta: PT. Berkat Mulia Insani, 2013).","previouslyFormattedCitation":"Erwandi Tarmizi, &lt;i&gt;Harta Haram Muamalat Kontemporer&lt;/i&gt; (Jakarta: PT. Berkat Mulia Insani, 2013)."},"properties":{"noteIndex":0},"schema":"https://github.com/citation-style-language/schema/raw/master/csl-citation.json"}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Erwandi Tarmizi, </w:t>
      </w:r>
      <w:r w:rsidRPr="000D5261">
        <w:rPr>
          <w:rFonts w:ascii="Garamond" w:hAnsi="Garamond"/>
          <w:i/>
          <w:noProof/>
        </w:rPr>
        <w:t>Harta Haram Muamalat Kontemporer</w:t>
      </w:r>
      <w:r w:rsidRPr="000D5261">
        <w:rPr>
          <w:rFonts w:ascii="Garamond" w:hAnsi="Garamond"/>
          <w:noProof/>
        </w:rPr>
        <w:t xml:space="preserve"> (Jakarta: PT. Berkat Mulia Insani, 2013).</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7">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{"citationItems":[{"id":"ITEM-1","itemData":{"DOI":"10.20414/ujis.v22i2.301","abstract":"Indonesia is a biggest Muslim, and yet multi-cultural, country. Religious tolerance is a key issue for harmony, and correct understanding of this principle is highly important. Maqā</w:instrText>
      </w:r>
      <w:r w:rsidRPr="000D5261">
        <w:rPr>
          <w:rFonts w:ascii="Cambria" w:hAnsi="Cambria" w:cs="Cambria"/>
        </w:rPr>
        <w:instrText>ṣ</w:instrText>
      </w:r>
      <w:r w:rsidRPr="000D5261">
        <w:rPr>
          <w:rFonts w:ascii="Garamond" w:hAnsi="Garamond"/>
        </w:rPr>
        <w:instrText>id approach serves one of the alternatives for such understanding. This study aims to elucidate the concept of interfaith tolerance from the perspective of the maqā</w:instrText>
      </w:r>
      <w:r w:rsidRPr="000D5261">
        <w:rPr>
          <w:rFonts w:ascii="Cambria" w:hAnsi="Cambria" w:cs="Cambria"/>
        </w:rPr>
        <w:instrText>ṣ</w:instrText>
      </w:r>
      <w:r w:rsidRPr="000D5261">
        <w:rPr>
          <w:rFonts w:ascii="Garamond" w:hAnsi="Garamond"/>
        </w:rPr>
        <w:instrText xml:space="preserve">id offered by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s interpretation and analyze its relevance to the context of Indonesian diversity. This study is based on his work al-Ta</w:instrText>
      </w:r>
      <w:r w:rsidRPr="000D5261">
        <w:rPr>
          <w:rFonts w:ascii="Cambria" w:hAnsi="Cambria" w:cs="Cambria"/>
        </w:rPr>
        <w:instrText>ḥ</w:instrText>
      </w:r>
      <w:r w:rsidRPr="000D5261">
        <w:rPr>
          <w:rFonts w:ascii="Garamond" w:hAnsi="Garamond"/>
        </w:rPr>
        <w:instrText>r</w:instrText>
      </w:r>
      <w:r w:rsidRPr="000D5261">
        <w:rPr>
          <w:rFonts w:ascii="Garamond" w:hAnsi="Garamond" w:cs="Garamond"/>
        </w:rPr>
        <w:instrText>ī</w:instrText>
      </w:r>
      <w:r w:rsidRPr="000D5261">
        <w:rPr>
          <w:rFonts w:ascii="Garamond" w:hAnsi="Garamond"/>
        </w:rPr>
        <w:instrText xml:space="preserve">r wa al-Tanwīr and finds several important principles of interreligious tolerance from the perspective of the Qur’an. As a Muslim reformer,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 sees that tolerance is one crucial issue that religious followers are now facing. Grounded on the maq</w:instrText>
      </w:r>
      <w:r w:rsidRPr="000D5261">
        <w:rPr>
          <w:rFonts w:ascii="Garamond" w:hAnsi="Garamond" w:cs="Garamond"/>
        </w:rPr>
        <w:instrText>ā</w:instrText>
      </w:r>
      <w:r w:rsidRPr="000D5261">
        <w:rPr>
          <w:rFonts w:ascii="Cambria" w:hAnsi="Cambria" w:cs="Cambria"/>
        </w:rPr>
        <w:instrText>ṣ</w:instrText>
      </w:r>
      <w:r w:rsidRPr="000D5261">
        <w:rPr>
          <w:rFonts w:ascii="Garamond" w:hAnsi="Garamond"/>
        </w:rPr>
        <w:instrText>id approach, he finds several principles of interreligious relation from the Quranic verses. These principles fit to the highest objective of Islamic law (maqā</w:instrText>
      </w:r>
      <w:r w:rsidRPr="000D5261">
        <w:rPr>
          <w:rFonts w:ascii="Cambria" w:hAnsi="Cambria" w:cs="Cambria"/>
        </w:rPr>
        <w:instrText>ṣ</w:instrText>
      </w:r>
      <w:r w:rsidRPr="000D5261">
        <w:rPr>
          <w:rFonts w:ascii="Garamond" w:hAnsi="Garamond"/>
        </w:rPr>
        <w:instrText>id al-shar</w:instrText>
      </w:r>
      <w:r w:rsidRPr="000D5261">
        <w:rPr>
          <w:rFonts w:ascii="Garamond" w:hAnsi="Garamond" w:cs="Garamond"/>
        </w:rPr>
        <w:instrText>ī</w:instrText>
      </w:r>
      <w:r w:rsidRPr="000D5261">
        <w:rPr>
          <w:rFonts w:ascii="Times New Roman" w:hAnsi="Times New Roman"/>
        </w:rPr>
        <w:instrText>ʿ</w:instrText>
      </w:r>
      <w:r w:rsidRPr="000D5261">
        <w:rPr>
          <w:rFonts w:ascii="Garamond" w:hAnsi="Garamond"/>
        </w:rPr>
        <w:instrText xml:space="preserve">a). These include drawing the common good and leaving away the damage, egalitarian, justice, conscience and freedom. These principles in the context of Indonesia are important and necessary in order to maintain harmony among religious people and the unity of the Republic of Indonesia.","author":[{"dropping-particle":"","family":"Hasan","given":"Moh. Abdul Khaliq","non-dropping-particle":"","parse-names":false,"suffix":""}],"container-title":"Ulumuna","id":"ITEM-1","issue":"2","issued":{"date-parts":[["2018"]]},"page":"333-362","title":"Interfaith tolerance and its relevance to the Indonesian diversity: A study on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s al-Ta</w:instrText>
      </w:r>
      <w:r w:rsidRPr="000D5261">
        <w:rPr>
          <w:rFonts w:ascii="Cambria" w:hAnsi="Cambria" w:cs="Cambria"/>
        </w:rPr>
        <w:instrText>ḥ</w:instrText>
      </w:r>
      <w:r w:rsidRPr="000D5261">
        <w:rPr>
          <w:rFonts w:ascii="Garamond" w:hAnsi="Garamond"/>
        </w:rPr>
        <w:instrText>r</w:instrText>
      </w:r>
      <w:r w:rsidRPr="000D5261">
        <w:rPr>
          <w:rFonts w:ascii="Garamond" w:hAnsi="Garamond" w:cs="Garamond"/>
        </w:rPr>
        <w:instrText>ī</w:instrText>
      </w:r>
      <w:r w:rsidRPr="000D5261">
        <w:rPr>
          <w:rFonts w:ascii="Garamond" w:hAnsi="Garamond"/>
        </w:rPr>
        <w:instrText>r wa al-Tanw</w:instrText>
      </w:r>
      <w:r w:rsidRPr="000D5261">
        <w:rPr>
          <w:rFonts w:ascii="Garamond" w:hAnsi="Garamond" w:cs="Garamond"/>
        </w:rPr>
        <w:instrText>ī</w:instrText>
      </w:r>
      <w:r w:rsidRPr="000D5261">
        <w:rPr>
          <w:rFonts w:ascii="Garamond" w:hAnsi="Garamond"/>
        </w:rPr>
        <w:instrText xml:space="preserve">r","type":"article-journal","volume":"22"},"uris":["http://www.mendeley.com/documents/?uuid=ba4d6bb0-cc9c-489f-a435-514c8036888f"]}],"mendeley":{"formattedCitation":"Moh. Abdul Khaliq Hasan, </w:instrText>
      </w:r>
      <w:r w:rsidRPr="000D5261">
        <w:rPr>
          <w:rFonts w:ascii="Garamond" w:hAnsi="Garamond" w:cs="Garamond"/>
        </w:rPr>
        <w:instrText>“</w:instrText>
      </w:r>
      <w:r w:rsidRPr="000D5261">
        <w:rPr>
          <w:rFonts w:ascii="Garamond" w:hAnsi="Garamond"/>
        </w:rPr>
        <w:instrText xml:space="preserve">Interfaith Tolerance and Its Relevance to the Indonesian Diversity: A Study on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s Al-Ta</w:instrText>
      </w:r>
      <w:r w:rsidRPr="000D5261">
        <w:rPr>
          <w:rFonts w:ascii="Cambria" w:hAnsi="Cambria" w:cs="Cambria"/>
        </w:rPr>
        <w:instrText>ḥ</w:instrText>
      </w:r>
      <w:r w:rsidRPr="000D5261">
        <w:rPr>
          <w:rFonts w:ascii="Garamond" w:hAnsi="Garamond"/>
        </w:rPr>
        <w:instrText>r</w:instrText>
      </w:r>
      <w:r w:rsidRPr="000D5261">
        <w:rPr>
          <w:rFonts w:ascii="Garamond" w:hAnsi="Garamond" w:cs="Garamond"/>
        </w:rPr>
        <w:instrText>ī</w:instrText>
      </w:r>
      <w:r w:rsidRPr="000D5261">
        <w:rPr>
          <w:rFonts w:ascii="Garamond" w:hAnsi="Garamond"/>
        </w:rPr>
        <w:instrText>r Wa Al-Tanw</w:instrText>
      </w:r>
      <w:r w:rsidRPr="000D5261">
        <w:rPr>
          <w:rFonts w:ascii="Garamond" w:hAnsi="Garamond" w:cs="Garamond"/>
        </w:rPr>
        <w:instrText>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 xml:space="preserve"> &lt;i&gt;Ulumuna&lt;/i&gt; 22, no. 2 (2018): 333</w:instrText>
      </w:r>
      <w:r w:rsidRPr="000D5261">
        <w:rPr>
          <w:rFonts w:ascii="Garamond" w:hAnsi="Garamond" w:cs="Garamond"/>
        </w:rPr>
        <w:instrText>–</w:instrText>
      </w:r>
      <w:r w:rsidRPr="000D5261">
        <w:rPr>
          <w:rFonts w:ascii="Garamond" w:hAnsi="Garamond"/>
        </w:rPr>
        <w:instrText xml:space="preserve">62, doi:10.20414/ujis.v22i2.301.","plainTextFormattedCitation":"Moh. Abdul Khaliq Hasan, </w:instrText>
      </w:r>
      <w:r w:rsidRPr="000D5261">
        <w:rPr>
          <w:rFonts w:ascii="Garamond" w:hAnsi="Garamond" w:cs="Garamond"/>
        </w:rPr>
        <w:instrText>“</w:instrText>
      </w:r>
      <w:r w:rsidRPr="000D5261">
        <w:rPr>
          <w:rFonts w:ascii="Garamond" w:hAnsi="Garamond"/>
        </w:rPr>
        <w:instrText xml:space="preserve">Interfaith Tolerance and Its Relevance to the Indonesian Diversity: A Study on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s Al-Ta</w:instrText>
      </w:r>
      <w:r w:rsidRPr="000D5261">
        <w:rPr>
          <w:rFonts w:ascii="Cambria" w:hAnsi="Cambria" w:cs="Cambria"/>
        </w:rPr>
        <w:instrText>ḥ</w:instrText>
      </w:r>
      <w:r w:rsidRPr="000D5261">
        <w:rPr>
          <w:rFonts w:ascii="Garamond" w:hAnsi="Garamond"/>
        </w:rPr>
        <w:instrText>r</w:instrText>
      </w:r>
      <w:r w:rsidRPr="000D5261">
        <w:rPr>
          <w:rFonts w:ascii="Garamond" w:hAnsi="Garamond" w:cs="Garamond"/>
        </w:rPr>
        <w:instrText>ī</w:instrText>
      </w:r>
      <w:r w:rsidRPr="000D5261">
        <w:rPr>
          <w:rFonts w:ascii="Garamond" w:hAnsi="Garamond"/>
        </w:rPr>
        <w:instrText>r Wa Al-Tanw</w:instrText>
      </w:r>
      <w:r w:rsidRPr="000D5261">
        <w:rPr>
          <w:rFonts w:ascii="Garamond" w:hAnsi="Garamond" w:cs="Garamond"/>
        </w:rPr>
        <w:instrText>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 xml:space="preserve"> Ulumuna 22, no. 2 (2018): 333</w:instrText>
      </w:r>
      <w:r w:rsidRPr="000D5261">
        <w:rPr>
          <w:rFonts w:ascii="Garamond" w:hAnsi="Garamond" w:cs="Garamond"/>
        </w:rPr>
        <w:instrText>–</w:instrText>
      </w:r>
      <w:r w:rsidRPr="000D5261">
        <w:rPr>
          <w:rFonts w:ascii="Garamond" w:hAnsi="Garamond"/>
        </w:rPr>
        <w:instrText xml:space="preserve">62, doi:10.20414/ujis.v22i2.301.","previouslyFormattedCitation":"Moh. Abdul Khaliq Hasan, </w:instrText>
      </w:r>
      <w:r w:rsidRPr="000D5261">
        <w:rPr>
          <w:rFonts w:ascii="Garamond" w:hAnsi="Garamond" w:cs="Garamond"/>
        </w:rPr>
        <w:instrText>“</w:instrText>
      </w:r>
      <w:r w:rsidRPr="000D5261">
        <w:rPr>
          <w:rFonts w:ascii="Garamond" w:hAnsi="Garamond"/>
        </w:rPr>
        <w:instrText xml:space="preserve">Interfaith Tolerance and Its Relevance to the Indonesian Diversity: A Study on Ibn </w:instrText>
      </w:r>
      <w:r w:rsidRPr="000D5261">
        <w:rPr>
          <w:rFonts w:ascii="Times New Roman" w:hAnsi="Times New Roman"/>
        </w:rPr>
        <w:instrText>ʿ</w:instrText>
      </w:r>
      <w:r w:rsidRPr="000D5261">
        <w:rPr>
          <w:rFonts w:ascii="Garamond" w:hAnsi="Garamond" w:cs="Garamond"/>
        </w:rPr>
        <w:instrText>Ā</w:instrText>
      </w:r>
      <w:r w:rsidRPr="000D5261">
        <w:rPr>
          <w:rFonts w:ascii="Garamond" w:hAnsi="Garamond"/>
        </w:rPr>
        <w:instrText>sh</w:instrText>
      </w:r>
      <w:r w:rsidRPr="000D5261">
        <w:rPr>
          <w:rFonts w:ascii="Garamond" w:hAnsi="Garamond" w:cs="Garamond"/>
        </w:rPr>
        <w:instrText>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s Al-Ta</w:instrText>
      </w:r>
      <w:r w:rsidRPr="000D5261">
        <w:rPr>
          <w:rFonts w:ascii="Cambria" w:hAnsi="Cambria" w:cs="Cambria"/>
        </w:rPr>
        <w:instrText>ḥ</w:instrText>
      </w:r>
      <w:r w:rsidRPr="000D5261">
        <w:rPr>
          <w:rFonts w:ascii="Garamond" w:hAnsi="Garamond"/>
        </w:rPr>
        <w:instrText>r</w:instrText>
      </w:r>
      <w:r w:rsidRPr="000D5261">
        <w:rPr>
          <w:rFonts w:ascii="Garamond" w:hAnsi="Garamond" w:cs="Garamond"/>
        </w:rPr>
        <w:instrText>ī</w:instrText>
      </w:r>
      <w:r w:rsidRPr="000D5261">
        <w:rPr>
          <w:rFonts w:ascii="Garamond" w:hAnsi="Garamond"/>
        </w:rPr>
        <w:instrText>r Wa Al-Tanw</w:instrText>
      </w:r>
      <w:r w:rsidRPr="000D5261">
        <w:rPr>
          <w:rFonts w:ascii="Garamond" w:hAnsi="Garamond" w:cs="Garamond"/>
        </w:rPr>
        <w:instrText>ī</w:instrText>
      </w:r>
      <w:r w:rsidRPr="000D5261">
        <w:rPr>
          <w:rFonts w:ascii="Garamond" w:hAnsi="Garamond"/>
        </w:rPr>
        <w:instrText>r,</w:instrText>
      </w:r>
      <w:r w:rsidRPr="000D5261">
        <w:rPr>
          <w:rFonts w:ascii="Garamond" w:hAnsi="Garamond" w:cs="Garamond"/>
        </w:rPr>
        <w:instrText>”</w:instrText>
      </w:r>
      <w:r w:rsidRPr="000D5261">
        <w:rPr>
          <w:rFonts w:ascii="Garamond" w:hAnsi="Garamond"/>
        </w:rPr>
        <w:instrText xml:space="preserve"> &lt;i&gt;Ulumuna&lt;/i&gt; 22, no. 2 (2018): 333</w:instrText>
      </w:r>
      <w:r w:rsidRPr="000D5261">
        <w:rPr>
          <w:rFonts w:ascii="Garamond" w:hAnsi="Garamond" w:cs="Garamond"/>
        </w:rPr>
        <w:instrText>–</w:instrText>
      </w:r>
      <w:r w:rsidRPr="000D5261">
        <w:rPr>
          <w:rFonts w:ascii="Garamond" w:hAnsi="Garamond"/>
        </w:rPr>
        <w:instrText>62, doi:10.20414/ujis.v22i2.301."},"properties":{"noteIndex":0},"schema":"https://github.com/citation-style-language/schema/raw/master/csl-citation.json"}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Moh. Abdul Khaliq Hasan, “Interfaith Tolerance and Its Relevance to the Indonesian Diversity: A Study on Ibn </w:t>
      </w:r>
      <w:r w:rsidRPr="000D5261">
        <w:rPr>
          <w:rFonts w:ascii="Times New Roman" w:hAnsi="Times New Roman"/>
          <w:noProof/>
        </w:rPr>
        <w:t>ʿ</w:t>
      </w:r>
      <w:r w:rsidRPr="000D5261">
        <w:rPr>
          <w:rFonts w:ascii="Garamond" w:hAnsi="Garamond" w:cs="Garamond"/>
          <w:noProof/>
        </w:rPr>
        <w:t>Ā</w:t>
      </w:r>
      <w:r w:rsidRPr="000D5261">
        <w:rPr>
          <w:rFonts w:ascii="Garamond" w:hAnsi="Garamond"/>
          <w:noProof/>
        </w:rPr>
        <w:t>sh</w:t>
      </w:r>
      <w:r w:rsidRPr="000D5261">
        <w:rPr>
          <w:rFonts w:ascii="Garamond" w:hAnsi="Garamond" w:cs="Garamond"/>
          <w:noProof/>
        </w:rPr>
        <w:t>ū</w:t>
      </w:r>
      <w:r w:rsidRPr="000D5261">
        <w:rPr>
          <w:rFonts w:ascii="Garamond" w:hAnsi="Garamond"/>
          <w:noProof/>
        </w:rPr>
        <w:t>r</w:t>
      </w:r>
      <w:r w:rsidRPr="000D5261">
        <w:rPr>
          <w:rFonts w:ascii="Garamond" w:hAnsi="Garamond" w:cs="Garamond"/>
          <w:noProof/>
        </w:rPr>
        <w:t>’</w:t>
      </w:r>
      <w:r w:rsidRPr="000D5261">
        <w:rPr>
          <w:rFonts w:ascii="Garamond" w:hAnsi="Garamond"/>
          <w:noProof/>
        </w:rPr>
        <w:t>s Al-Ta</w:t>
      </w:r>
      <w:r w:rsidRPr="000D5261">
        <w:rPr>
          <w:rFonts w:ascii="Cambria" w:hAnsi="Cambria" w:cs="Cambria"/>
          <w:noProof/>
        </w:rPr>
        <w:t>ḥ</w:t>
      </w:r>
      <w:r w:rsidRPr="000D5261">
        <w:rPr>
          <w:rFonts w:ascii="Garamond" w:hAnsi="Garamond"/>
          <w:noProof/>
        </w:rPr>
        <w:t>r</w:t>
      </w:r>
      <w:r w:rsidRPr="000D5261">
        <w:rPr>
          <w:rFonts w:ascii="Garamond" w:hAnsi="Garamond" w:cs="Garamond"/>
          <w:noProof/>
        </w:rPr>
        <w:t>ī</w:t>
      </w:r>
      <w:r w:rsidRPr="000D5261">
        <w:rPr>
          <w:rFonts w:ascii="Garamond" w:hAnsi="Garamond"/>
          <w:noProof/>
        </w:rPr>
        <w:t>r Wa Al-Tanw</w:t>
      </w:r>
      <w:r w:rsidRPr="000D5261">
        <w:rPr>
          <w:rFonts w:ascii="Garamond" w:hAnsi="Garamond" w:cs="Garamond"/>
          <w:noProof/>
        </w:rPr>
        <w:t>ī</w:t>
      </w:r>
      <w:r w:rsidRPr="000D5261">
        <w:rPr>
          <w:rFonts w:ascii="Garamond" w:hAnsi="Garamond"/>
          <w:noProof/>
        </w:rPr>
        <w:t>r,</w:t>
      </w:r>
      <w:r w:rsidRPr="000D5261">
        <w:rPr>
          <w:rFonts w:ascii="Garamond" w:hAnsi="Garamond" w:cs="Garamond"/>
          <w:noProof/>
        </w:rPr>
        <w:t>”</w:t>
      </w:r>
      <w:r w:rsidRPr="000D5261">
        <w:rPr>
          <w:rFonts w:ascii="Garamond" w:hAnsi="Garamond"/>
          <w:noProof/>
        </w:rPr>
        <w:t xml:space="preserve"> </w:t>
      </w:r>
      <w:r w:rsidRPr="000D5261">
        <w:rPr>
          <w:rFonts w:ascii="Garamond" w:hAnsi="Garamond"/>
          <w:i/>
          <w:noProof/>
        </w:rPr>
        <w:t>Ulumuna</w:t>
      </w:r>
      <w:r w:rsidRPr="000D5261">
        <w:rPr>
          <w:rFonts w:ascii="Garamond" w:hAnsi="Garamond"/>
          <w:noProof/>
        </w:rPr>
        <w:t xml:space="preserve"> 22, no. 2 (2018): 333–62, doi:10.20414/ujis.v22i2.301.</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8">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{"citationItems":[{"id":"ITEM-1","itemData":{"author":[{"dropping-particle":"","family":"Al-'Anzi","given":"Mur</w:instrText>
      </w:r>
      <w:r w:rsidRPr="000D5261">
        <w:rPr>
          <w:rFonts w:ascii="Cambria" w:hAnsi="Cambria" w:cs="Cambria"/>
        </w:rPr>
        <w:instrText>ḍ</w:instrText>
      </w:r>
      <w:r w:rsidRPr="000D5261">
        <w:rPr>
          <w:rFonts w:ascii="Garamond" w:hAnsi="Garamond" w:cs="Garamond"/>
        </w:rPr>
        <w:instrText>ī</w:instrText>
      </w:r>
      <w:r w:rsidRPr="000D5261">
        <w:rPr>
          <w:rFonts w:ascii="Garamond" w:hAnsi="Garamond"/>
        </w:rPr>
        <w:instrText xml:space="preserve"> Bin Masy</w:instrText>
      </w:r>
      <w:r w:rsidRPr="000D5261">
        <w:rPr>
          <w:rFonts w:ascii="Garamond" w:hAnsi="Garamond" w:cs="Garamond"/>
        </w:rPr>
        <w:instrText>ū</w:instrText>
      </w:r>
      <w:r w:rsidRPr="000D5261">
        <w:rPr>
          <w:rFonts w:ascii="Garamond" w:hAnsi="Garamond"/>
        </w:rPr>
        <w:instrText>ha","non-dropping-particle":"","parse-names":false,"suffix":""}],"container-title":"Al</w:instrText>
      </w:r>
      <w:r w:rsidRPr="000D5261">
        <w:rPr>
          <w:rFonts w:ascii="Garamond" w:hAnsi="Garamond" w:cs="Garamond"/>
        </w:rPr>
        <w:instrText>ū</w:instrText>
      </w:r>
      <w:r w:rsidRPr="000D5261">
        <w:rPr>
          <w:rFonts w:ascii="Garamond" w:hAnsi="Garamond"/>
        </w:rPr>
        <w:instrText>kah Asy-Syar'iyyah","id":"ITEM-1","issued":{"date-parts":[["1438"]]},"title":"Al-Ma</w:instrText>
      </w:r>
      <w:r w:rsidRPr="000D5261">
        <w:rPr>
          <w:rFonts w:ascii="Cambria" w:hAnsi="Cambria" w:cs="Cambria"/>
        </w:rPr>
        <w:instrText>ṣ</w:instrText>
      </w:r>
      <w:r w:rsidRPr="000D5261">
        <w:rPr>
          <w:rFonts w:ascii="Garamond" w:hAnsi="Garamond"/>
        </w:rPr>
        <w:instrText>lahah fi al-Fiqh al-Isl</w:instrText>
      </w:r>
      <w:r w:rsidRPr="000D5261">
        <w:rPr>
          <w:rFonts w:ascii="Garamond" w:hAnsi="Garamond" w:cs="Garamond"/>
        </w:rPr>
        <w:instrText>ā</w:instrText>
      </w:r>
      <w:r w:rsidRPr="000D5261">
        <w:rPr>
          <w:rFonts w:ascii="Garamond" w:hAnsi="Garamond"/>
        </w:rPr>
        <w:instrText>m</w:instrText>
      </w:r>
      <w:r w:rsidRPr="000D5261">
        <w:rPr>
          <w:rFonts w:ascii="Garamond" w:hAnsi="Garamond" w:cs="Garamond"/>
        </w:rPr>
        <w:instrText>ī</w:instrText>
      </w:r>
      <w:r w:rsidRPr="000D5261">
        <w:rPr>
          <w:rFonts w:ascii="Garamond" w:hAnsi="Garamond"/>
        </w:rPr>
        <w:instrText>","type":"webpage"},"uris":["http://www.mendeley.com/documents/?uuid=17110ec3-4920-4d17-8684-b9efed920562"]}],"mendeley":{"formattedCitation":"Mur</w:instrText>
      </w:r>
      <w:r w:rsidRPr="000D5261">
        <w:rPr>
          <w:rFonts w:ascii="Cambria" w:hAnsi="Cambria" w:cs="Cambria"/>
        </w:rPr>
        <w:instrText>ḍ</w:instrText>
      </w:r>
      <w:r w:rsidRPr="000D5261">
        <w:rPr>
          <w:rFonts w:ascii="Garamond" w:hAnsi="Garamond" w:cs="Garamond"/>
        </w:rPr>
        <w:instrText>ī</w:instrText>
      </w:r>
      <w:r w:rsidRPr="000D5261">
        <w:rPr>
          <w:rFonts w:ascii="Garamond" w:hAnsi="Garamond"/>
        </w:rPr>
        <w:instrText xml:space="preserve"> Bin Masy</w:instrText>
      </w:r>
      <w:r w:rsidRPr="000D5261">
        <w:rPr>
          <w:rFonts w:ascii="Garamond" w:hAnsi="Garamond" w:cs="Garamond"/>
        </w:rPr>
        <w:instrText>ū</w:instrText>
      </w:r>
      <w:r w:rsidRPr="000D5261">
        <w:rPr>
          <w:rFonts w:ascii="Garamond" w:hAnsi="Garamond"/>
        </w:rPr>
        <w:instrText>ha Al-</w:instrText>
      </w:r>
      <w:r w:rsidRPr="000D5261">
        <w:rPr>
          <w:rFonts w:ascii="Garamond" w:hAnsi="Garamond" w:cs="Garamond"/>
        </w:rPr>
        <w:instrText>’</w:instrText>
      </w:r>
      <w:r w:rsidRPr="000D5261">
        <w:rPr>
          <w:rFonts w:ascii="Garamond" w:hAnsi="Garamond"/>
        </w:rPr>
        <w:instrText xml:space="preserve">Anzi, </w:instrText>
      </w:r>
      <w:r w:rsidRPr="000D5261">
        <w:rPr>
          <w:rFonts w:ascii="Garamond" w:hAnsi="Garamond" w:cs="Garamond"/>
        </w:rPr>
        <w:instrText>“</w:instrText>
      </w:r>
      <w:r w:rsidRPr="000D5261">
        <w:rPr>
          <w:rFonts w:ascii="Garamond" w:hAnsi="Garamond"/>
        </w:rPr>
        <w:instrText>Al-Ma</w:instrText>
      </w:r>
      <w:r w:rsidRPr="000D5261">
        <w:rPr>
          <w:rFonts w:ascii="Cambria" w:hAnsi="Cambria" w:cs="Cambria"/>
        </w:rPr>
        <w:instrText>ṣ</w:instrText>
      </w:r>
      <w:r w:rsidRPr="000D5261">
        <w:rPr>
          <w:rFonts w:ascii="Garamond" w:hAnsi="Garamond"/>
        </w:rPr>
        <w:instrText>lahah Fi Al-Fiqh Al-Isl</w:instrText>
      </w:r>
      <w:r w:rsidRPr="000D5261">
        <w:rPr>
          <w:rFonts w:ascii="Garamond" w:hAnsi="Garamond" w:cs="Garamond"/>
        </w:rPr>
        <w:instrText>ā</w:instrText>
      </w:r>
      <w:r w:rsidRPr="000D5261">
        <w:rPr>
          <w:rFonts w:ascii="Garamond" w:hAnsi="Garamond"/>
        </w:rPr>
        <w:instrText>m</w:instrText>
      </w:r>
      <w:r w:rsidRPr="000D5261">
        <w:rPr>
          <w:rFonts w:ascii="Garamond" w:hAnsi="Garamond" w:cs="Garamond"/>
        </w:rPr>
        <w:instrText>ī</w:instrText>
      </w:r>
      <w:r w:rsidRPr="000D5261">
        <w:rPr>
          <w:rFonts w:ascii="Garamond" w:hAnsi="Garamond"/>
        </w:rPr>
        <w:instrText>,</w:instrText>
      </w:r>
      <w:r w:rsidRPr="000D5261">
        <w:rPr>
          <w:rFonts w:ascii="Garamond" w:hAnsi="Garamond" w:cs="Garamond"/>
        </w:rPr>
        <w:instrText>”</w:instrText>
      </w:r>
      <w:r w:rsidRPr="000D5261">
        <w:rPr>
          <w:rFonts w:ascii="Garamond" w:hAnsi="Garamond"/>
        </w:rPr>
        <w:instrText xml:space="preserve"> &lt;i&gt;Al</w:instrText>
      </w:r>
      <w:r w:rsidRPr="000D5261">
        <w:rPr>
          <w:rFonts w:ascii="Garamond" w:hAnsi="Garamond" w:cs="Garamond"/>
        </w:rPr>
        <w:instrText>ū</w:instrText>
      </w:r>
      <w:r w:rsidRPr="000D5261">
        <w:rPr>
          <w:rFonts w:ascii="Garamond" w:hAnsi="Garamond"/>
        </w:rPr>
        <w:instrText>kah Asy-Syar’iyyah&lt;/i&gt;, 1438.","plainTextFormattedCitation":"Mur</w:instrText>
      </w:r>
      <w:r w:rsidRPr="000D5261">
        <w:rPr>
          <w:rFonts w:ascii="Cambria" w:hAnsi="Cambria" w:cs="Cambria"/>
        </w:rPr>
        <w:instrText>ḍ</w:instrText>
      </w:r>
      <w:r w:rsidRPr="000D5261">
        <w:rPr>
          <w:rFonts w:ascii="Garamond" w:hAnsi="Garamond" w:cs="Garamond"/>
        </w:rPr>
        <w:instrText>ī</w:instrText>
      </w:r>
      <w:r w:rsidRPr="000D5261">
        <w:rPr>
          <w:rFonts w:ascii="Garamond" w:hAnsi="Garamond"/>
        </w:rPr>
        <w:instrText xml:space="preserve"> Bin Masy</w:instrText>
      </w:r>
      <w:r w:rsidRPr="000D5261">
        <w:rPr>
          <w:rFonts w:ascii="Garamond" w:hAnsi="Garamond" w:cs="Garamond"/>
        </w:rPr>
        <w:instrText>ū</w:instrText>
      </w:r>
      <w:r w:rsidRPr="000D5261">
        <w:rPr>
          <w:rFonts w:ascii="Garamond" w:hAnsi="Garamond"/>
        </w:rPr>
        <w:instrText>ha Al-</w:instrText>
      </w:r>
      <w:r w:rsidRPr="000D5261">
        <w:rPr>
          <w:rFonts w:ascii="Garamond" w:hAnsi="Garamond" w:cs="Garamond"/>
        </w:rPr>
        <w:instrText>’</w:instrText>
      </w:r>
      <w:r w:rsidRPr="000D5261">
        <w:rPr>
          <w:rFonts w:ascii="Garamond" w:hAnsi="Garamond"/>
        </w:rPr>
        <w:instrText xml:space="preserve">Anzi, </w:instrText>
      </w:r>
      <w:r w:rsidRPr="000D5261">
        <w:rPr>
          <w:rFonts w:ascii="Garamond" w:hAnsi="Garamond" w:cs="Garamond"/>
        </w:rPr>
        <w:instrText>“</w:instrText>
      </w:r>
      <w:r w:rsidRPr="000D5261">
        <w:rPr>
          <w:rFonts w:ascii="Garamond" w:hAnsi="Garamond"/>
        </w:rPr>
        <w:instrText>Al-Ma</w:instrText>
      </w:r>
      <w:r w:rsidRPr="000D5261">
        <w:rPr>
          <w:rFonts w:ascii="Cambria" w:hAnsi="Cambria" w:cs="Cambria"/>
        </w:rPr>
        <w:instrText>ṣ</w:instrText>
      </w:r>
      <w:r w:rsidRPr="000D5261">
        <w:rPr>
          <w:rFonts w:ascii="Garamond" w:hAnsi="Garamond"/>
        </w:rPr>
        <w:instrText>lahah Fi Al-Fiqh Al-Isl</w:instrText>
      </w:r>
      <w:r w:rsidRPr="000D5261">
        <w:rPr>
          <w:rFonts w:ascii="Garamond" w:hAnsi="Garamond" w:cs="Garamond"/>
        </w:rPr>
        <w:instrText>ā</w:instrText>
      </w:r>
      <w:r w:rsidRPr="000D5261">
        <w:rPr>
          <w:rFonts w:ascii="Garamond" w:hAnsi="Garamond"/>
        </w:rPr>
        <w:instrText>m</w:instrText>
      </w:r>
      <w:r w:rsidRPr="000D5261">
        <w:rPr>
          <w:rFonts w:ascii="Garamond" w:hAnsi="Garamond" w:cs="Garamond"/>
        </w:rPr>
        <w:instrText>ī</w:instrText>
      </w:r>
      <w:r w:rsidRPr="000D5261">
        <w:rPr>
          <w:rFonts w:ascii="Garamond" w:hAnsi="Garamond"/>
        </w:rPr>
        <w:instrText>,</w:instrText>
      </w:r>
      <w:r w:rsidRPr="000D5261">
        <w:rPr>
          <w:rFonts w:ascii="Garamond" w:hAnsi="Garamond" w:cs="Garamond"/>
        </w:rPr>
        <w:instrText>”</w:instrText>
      </w:r>
      <w:r w:rsidRPr="000D5261">
        <w:rPr>
          <w:rFonts w:ascii="Garamond" w:hAnsi="Garamond"/>
        </w:rPr>
        <w:instrText xml:space="preserve"> Al</w:instrText>
      </w:r>
      <w:r w:rsidRPr="000D5261">
        <w:rPr>
          <w:rFonts w:ascii="Garamond" w:hAnsi="Garamond" w:cs="Garamond"/>
        </w:rPr>
        <w:instrText>ū</w:instrText>
      </w:r>
      <w:r w:rsidRPr="000D5261">
        <w:rPr>
          <w:rFonts w:ascii="Garamond" w:hAnsi="Garamond"/>
        </w:rPr>
        <w:instrText>kah Asy-Syar</w:instrText>
      </w:r>
      <w:r w:rsidRPr="000D5261">
        <w:rPr>
          <w:rFonts w:ascii="Garamond" w:hAnsi="Garamond" w:cs="Garamond"/>
        </w:rPr>
        <w:instrText>’</w:instrText>
      </w:r>
      <w:r w:rsidRPr="000D5261">
        <w:rPr>
          <w:rFonts w:ascii="Garamond" w:hAnsi="Garamond"/>
        </w:rPr>
        <w:instrText>iyyah, 1438.","previouslyFormattedCitation":"Mur</w:instrText>
      </w:r>
      <w:r w:rsidRPr="000D5261">
        <w:rPr>
          <w:rFonts w:ascii="Cambria" w:hAnsi="Cambria" w:cs="Cambria"/>
        </w:rPr>
        <w:instrText>ḍ</w:instrText>
      </w:r>
      <w:r w:rsidRPr="000D5261">
        <w:rPr>
          <w:rFonts w:ascii="Garamond" w:hAnsi="Garamond" w:cs="Garamond"/>
        </w:rPr>
        <w:instrText>ī</w:instrText>
      </w:r>
      <w:r w:rsidRPr="000D5261">
        <w:rPr>
          <w:rFonts w:ascii="Garamond" w:hAnsi="Garamond"/>
        </w:rPr>
        <w:instrText xml:space="preserve"> Bin Masy</w:instrText>
      </w:r>
      <w:r w:rsidRPr="000D5261">
        <w:rPr>
          <w:rFonts w:ascii="Garamond" w:hAnsi="Garamond" w:cs="Garamond"/>
        </w:rPr>
        <w:instrText>ū</w:instrText>
      </w:r>
      <w:r w:rsidRPr="000D5261">
        <w:rPr>
          <w:rFonts w:ascii="Garamond" w:hAnsi="Garamond"/>
        </w:rPr>
        <w:instrText>ha Al-</w:instrText>
      </w:r>
      <w:r w:rsidRPr="000D5261">
        <w:rPr>
          <w:rFonts w:ascii="Garamond" w:hAnsi="Garamond" w:cs="Garamond"/>
        </w:rPr>
        <w:instrText>’</w:instrText>
      </w:r>
      <w:r w:rsidRPr="000D5261">
        <w:rPr>
          <w:rFonts w:ascii="Garamond" w:hAnsi="Garamond"/>
        </w:rPr>
        <w:instrText xml:space="preserve">Anzi, </w:instrText>
      </w:r>
      <w:r w:rsidRPr="000D5261">
        <w:rPr>
          <w:rFonts w:ascii="Garamond" w:hAnsi="Garamond" w:cs="Garamond"/>
        </w:rPr>
        <w:instrText>“</w:instrText>
      </w:r>
      <w:r w:rsidRPr="000D5261">
        <w:rPr>
          <w:rFonts w:ascii="Garamond" w:hAnsi="Garamond"/>
        </w:rPr>
        <w:instrText>Al-Ma</w:instrText>
      </w:r>
      <w:r w:rsidRPr="000D5261">
        <w:rPr>
          <w:rFonts w:ascii="Cambria" w:hAnsi="Cambria" w:cs="Cambria"/>
        </w:rPr>
        <w:instrText>ṣ</w:instrText>
      </w:r>
      <w:r w:rsidRPr="000D5261">
        <w:rPr>
          <w:rFonts w:ascii="Garamond" w:hAnsi="Garamond"/>
        </w:rPr>
        <w:instrText>lahah Fi Al-Fiqh Al-Isl</w:instrText>
      </w:r>
      <w:r w:rsidRPr="000D5261">
        <w:rPr>
          <w:rFonts w:ascii="Garamond" w:hAnsi="Garamond" w:cs="Garamond"/>
        </w:rPr>
        <w:instrText>ā</w:instrText>
      </w:r>
      <w:r w:rsidRPr="000D5261">
        <w:rPr>
          <w:rFonts w:ascii="Garamond" w:hAnsi="Garamond"/>
        </w:rPr>
        <w:instrText>m</w:instrText>
      </w:r>
      <w:r w:rsidRPr="000D5261">
        <w:rPr>
          <w:rFonts w:ascii="Garamond" w:hAnsi="Garamond" w:cs="Garamond"/>
        </w:rPr>
        <w:instrText>ī</w:instrText>
      </w:r>
      <w:r w:rsidRPr="000D5261">
        <w:rPr>
          <w:rFonts w:ascii="Garamond" w:hAnsi="Garamond"/>
        </w:rPr>
        <w:instrText>,</w:instrText>
      </w:r>
      <w:r w:rsidRPr="000D5261">
        <w:rPr>
          <w:rFonts w:ascii="Garamond" w:hAnsi="Garamond" w:cs="Garamond"/>
        </w:rPr>
        <w:instrText>”</w:instrText>
      </w:r>
      <w:r w:rsidRPr="000D5261">
        <w:rPr>
          <w:rFonts w:ascii="Garamond" w:hAnsi="Garamond"/>
        </w:rPr>
        <w:instrText xml:space="preserve"> &lt;i&gt;Al</w:instrText>
      </w:r>
      <w:r w:rsidRPr="000D5261">
        <w:rPr>
          <w:rFonts w:ascii="Garamond" w:hAnsi="Garamond" w:cs="Garamond"/>
        </w:rPr>
        <w:instrText>ū</w:instrText>
      </w:r>
      <w:r w:rsidRPr="000D5261">
        <w:rPr>
          <w:rFonts w:ascii="Garamond" w:hAnsi="Garamond"/>
        </w:rPr>
        <w:instrText>kah Asy-Syar’iyyah&lt;/i&gt;, 1438."},"properties":{"noteIndex":0},"schema":"https://github.com/citation-style-language/schema/raw/master/csl-citation.json"}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Mur</w:t>
      </w:r>
      <w:r w:rsidRPr="000D5261">
        <w:rPr>
          <w:rFonts w:ascii="Cambria" w:hAnsi="Cambria" w:cs="Cambria"/>
          <w:noProof/>
        </w:rPr>
        <w:t>ḍ</w:t>
      </w:r>
      <w:r w:rsidRPr="000D5261">
        <w:rPr>
          <w:rFonts w:ascii="Garamond" w:hAnsi="Garamond" w:cs="Garamond"/>
          <w:noProof/>
        </w:rPr>
        <w:t>ī</w:t>
      </w:r>
      <w:r w:rsidRPr="000D5261">
        <w:rPr>
          <w:rFonts w:ascii="Garamond" w:hAnsi="Garamond"/>
          <w:noProof/>
        </w:rPr>
        <w:t xml:space="preserve"> Bin Masy</w:t>
      </w:r>
      <w:r w:rsidRPr="000D5261">
        <w:rPr>
          <w:rFonts w:ascii="Garamond" w:hAnsi="Garamond" w:cs="Garamond"/>
          <w:noProof/>
        </w:rPr>
        <w:t>ū</w:t>
      </w:r>
      <w:r w:rsidRPr="000D5261">
        <w:rPr>
          <w:rFonts w:ascii="Garamond" w:hAnsi="Garamond"/>
          <w:noProof/>
        </w:rPr>
        <w:t>ha Al-</w:t>
      </w:r>
      <w:r w:rsidRPr="000D5261">
        <w:rPr>
          <w:rFonts w:ascii="Garamond" w:hAnsi="Garamond" w:cs="Garamond"/>
          <w:noProof/>
        </w:rPr>
        <w:t>’</w:t>
      </w:r>
      <w:r w:rsidRPr="000D5261">
        <w:rPr>
          <w:rFonts w:ascii="Garamond" w:hAnsi="Garamond"/>
          <w:noProof/>
        </w:rPr>
        <w:t xml:space="preserve">Anzi, </w:t>
      </w:r>
      <w:r w:rsidRPr="000D5261">
        <w:rPr>
          <w:rFonts w:ascii="Garamond" w:hAnsi="Garamond" w:cs="Garamond"/>
          <w:noProof/>
        </w:rPr>
        <w:t>“</w:t>
      </w:r>
      <w:r w:rsidRPr="000D5261">
        <w:rPr>
          <w:rFonts w:ascii="Garamond" w:hAnsi="Garamond"/>
          <w:noProof/>
        </w:rPr>
        <w:t>Al-Ma</w:t>
      </w:r>
      <w:r w:rsidRPr="000D5261">
        <w:rPr>
          <w:rFonts w:ascii="Cambria" w:hAnsi="Cambria" w:cs="Cambria"/>
          <w:noProof/>
        </w:rPr>
        <w:t>ṣ</w:t>
      </w:r>
      <w:r w:rsidRPr="000D5261">
        <w:rPr>
          <w:rFonts w:ascii="Garamond" w:hAnsi="Garamond"/>
          <w:noProof/>
        </w:rPr>
        <w:t>lahah Fi Al-Fiqh Al-Isl</w:t>
      </w:r>
      <w:r w:rsidRPr="000D5261">
        <w:rPr>
          <w:rFonts w:ascii="Garamond" w:hAnsi="Garamond" w:cs="Garamond"/>
          <w:noProof/>
        </w:rPr>
        <w:t>ā</w:t>
      </w:r>
      <w:r w:rsidRPr="000D5261">
        <w:rPr>
          <w:rFonts w:ascii="Garamond" w:hAnsi="Garamond"/>
          <w:noProof/>
        </w:rPr>
        <w:t>m</w:t>
      </w:r>
      <w:r w:rsidRPr="000D5261">
        <w:rPr>
          <w:rFonts w:ascii="Garamond" w:hAnsi="Garamond" w:cs="Garamond"/>
          <w:noProof/>
        </w:rPr>
        <w:t>ī</w:t>
      </w:r>
      <w:r w:rsidRPr="000D5261">
        <w:rPr>
          <w:rFonts w:ascii="Garamond" w:hAnsi="Garamond"/>
          <w:noProof/>
        </w:rPr>
        <w:t>,</w:t>
      </w:r>
      <w:r w:rsidRPr="000D5261">
        <w:rPr>
          <w:rFonts w:ascii="Garamond" w:hAnsi="Garamond" w:cs="Garamond"/>
          <w:noProof/>
        </w:rPr>
        <w:t>”</w:t>
      </w:r>
      <w:r w:rsidRPr="000D5261">
        <w:rPr>
          <w:rFonts w:ascii="Garamond" w:hAnsi="Garamond"/>
          <w:noProof/>
        </w:rPr>
        <w:t xml:space="preserve"> </w:t>
      </w:r>
      <w:r w:rsidRPr="000D5261">
        <w:rPr>
          <w:rFonts w:ascii="Garamond" w:hAnsi="Garamond"/>
          <w:i/>
          <w:noProof/>
        </w:rPr>
        <w:t>Alūkah Asy-Syar’iyyah</w:t>
      </w:r>
      <w:r w:rsidRPr="000D5261">
        <w:rPr>
          <w:rFonts w:ascii="Garamond" w:hAnsi="Garamond"/>
          <w:noProof/>
        </w:rPr>
        <w:t>, 1438.</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{"citationItems":[{"id":"ITEM-1","itemData":{"DOI":"10.24090/mnh.v15i2.4641","abstract":"Risk management at Islamic financial institutions is still implementing bank Indonesia (BI) and Financial Services Authority (OJK) policies which previously applied the same to conventional financial institutions. The perfection of the enforcement of sharia principles in sharia financing institutions is not enough only in the aspect of transactional mechanisms, it needs to be supported by a sharia-based risk management system. The focus of this research includes the characteristics of Islamic financing, juridical aspects in the principle of prudence, and an overview of the maslahah of the urgency of sharia-based risk management. This research is normative legal research using a statutory approach and a benefits approach with a qualitative descriptive analysis. The results of the discussion show that a dynamic system also needs to be supported by juridical aspects to provide the legal force with the realization of regulatory solidity. At this regulatory level, in addition to the regulations issued by the OJK, the DSN-MUI fatwa is also very necessary and has a very urgent position. Because financing risk management is also part of the sharia economy that must maintain sharia principles, lest the application of sharia principles only exists in product technicalities, but does not apply to technical risk management. The expected sharia is the application of total sharia principles (kaffah), not partial ones.","author":[{"dropping-particle":"","family":"Hidayati","given":"Tri","non-dropping-particle":"","parse-names":false,"suffix":""}],"container-title":"Al-Manahij: Jurnal Kajian Hukum Islam","id":"ITEM-1","issue":"2","issued":{"date-parts":[["2021"]]},"page":"201-220","title":"Urgensi fatwa DSN-MUI mengenai manajemen risiko pembiayaan berbasis syariah","type":"article-journal","volume":"15"},"uris":["http://www.mendeley.com/documents/?uuid=b3531fc7-0b5e-418a-9ed4-dcc2601817e6"]}],"mendeley":{"formattedCitation":"Hidayati, “Urgensi Fatwa DSN-MUI Mengenai Manajemen Risiko Pembiayaan Berbasis Syariah.”","plainTextFormattedCitation":"Hidayati, “Urgensi Fatwa DSN-MUI Mengenai Manajemen Risiko Pembiayaan Berbasis Syariah.”","previouslyFormattedCitation":"Hidayati, “Urgensi Fatwa DSN-MUI Mengenai Manajemen Risiko Pembiayaan Berbasis Syariah.”"},"properties":{"noteIndex":0},"schema":"https://github.com/citation-style-language/schema/raw/master/csl-citation.json"}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Hidayati, “Urgensi Fatwa DSN-MUI Mengenai Manajemen Risiko Pembiayaan Berbasis Syariah.”</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0">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{"citationItems":[{"id":"ITEM-1","itemData":{"DOI":"10.21111/tsaqafah.v13i2.1183","abstract":"The concepts of maslahat and mafsadah known as the main reference in Islamic laws to resolve contemporary Muslims problems. The concepts of maslahat and mafsadah as a centre in maqâs}id al-syarî‘ah already discussed by Imam al-Ghazali in his books. Imam al-Ghazali well known to be the first scholars in the study of these concepts. Imam al-Ghazali’s highlights the concepts of maslahat and mafsadah should be based on the texts (nas}s}). However, Imam al-Ghazali mentioned the concept of maslahat used as a method not an absolute sources after al-Qur’an, al-Sunnah, ijmâ’ and qiyâs in the deriving of Islamic laws. This paper tries to explains the concepts of maslahat and mafsadah following the study conducted by Imam al-Ghazali. The findings suggests that Imam al-Ghazali well known as the first jurist who pioners the framework of maqâs}id al-syarî‘ah. There ara two reasons as to why he is considered as the pioneer of the concept of maqâs}id al-syarî‘ah. The first reason is due to his systematic and detailed treatment of the concepts in his last and definitive work on legal theory; al-Mustas}fa. The second reason is due to the use of his terminologies and classifications of the concept by later jurists. These all serve as the evidences to considering him as the pioneer of the concepts of maslahat and mafsadah as a legal theory. Moreover, Imam al-Ghazali tried to proposed several ‘tarjîh}’ methods how to apply the both concepts when there is a contradiction between the two concepts.","author":[{"dropping-particle":"","family":"Akbar Sarif","given":"Ridzwan Ahmad","non-dropping-particle":"","parse-names":false,"suffix":""}],"container-title":"Tsaqafah","id":"ITEM-1","issue":"2","issued":{"date-parts":[["2017"]]},"page":"15","title":"Konsep maslahat dan mafsadat menurut Imam al-Gazali","type":"article-journal","volume":"2"},"uris":["http://www.mendeley.com/documents/?uuid=64f68db6-16de-403f-bfd4-f485a2dcd971"]}],"mendeley":{"formattedCitation":"Ridzwan Ahmad Akbar Sarif, “Konsep Maslahat Dan Mafsadat Menurut Imam Al-Gazali,” &lt;i&gt;Tsaqafah&lt;/i&gt; 2, no. 2 (2017): 15, doi:10.21111/tsaqafah.v13i2.1183.","plainTextFormattedCitation":"Ridzwan Ahmad Akbar Sarif, “Konsep Maslahat Dan Mafsadat Menurut Imam Al-Gazali,” Tsaqafah 2, no. 2 (2017): 15, doi:10.21111/tsaqafah.v13i2.1183.","previouslyFormattedCitation":"Ridzwan Ahmad Akbar Sarif, “Konsep Maslahat Dan Mafsadat Menurut Imam Al-Gazali,” &lt;i&gt;Tsaqafah&lt;/i&gt; 2, no. 2 (2017): 15, doi:10.21111/tsaqafah.v13i2.1183."},"properties":{"noteIndex":0},"schema":"https://github.com/citation-style-language/schema/raw/master/csl-citation.json"}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Ridzwan Ahmad Akbar Sarif, “Konsep Maslahat Dan Mafsadat Menurut Imam Al-Gazali,” </w:t>
      </w:r>
      <w:r w:rsidRPr="000D5261">
        <w:rPr>
          <w:rFonts w:ascii="Garamond" w:hAnsi="Garamond"/>
          <w:i/>
          <w:noProof/>
        </w:rPr>
        <w:t>Tsaqafah</w:t>
      </w:r>
      <w:r w:rsidRPr="000D5261">
        <w:rPr>
          <w:rFonts w:ascii="Garamond" w:hAnsi="Garamond"/>
          <w:noProof/>
        </w:rPr>
        <w:t xml:space="preserve"> 2, no. 2 (2017): 15, doi:10.21111/tsaqafah.v13i2.1183.</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1">
    <w:p w:rsidR="00B97014" w:rsidRDefault="00B97014" w:rsidP="004A1695">
      <w:pPr>
        <w:pStyle w:val="EndnoteText"/>
        <w:jc w:val="both"/>
        <w:rPr>
          <w:rFonts w:ascii="Garamond" w:hAnsi="Garamond"/>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{"citationItems":[{"id":"ITEM-1","itemData":{"DOI":"10.24090/mnh.v15i2.4641","abstract":"Risk management at Islamic financial institutions is still implementing bank Indonesia (BI) and Financial Services Authority (OJK) policies which previously applied the same to conventional financial institutions. The perfection of the enforcement of sharia principles in sharia financing institutions is not enough only in the aspect of transactional mechanisms, it needs to be supported by a sharia-based risk management system. The focus of this research includes the characteristics of Islamic financing, juridical aspects in the principle of prudence, and an overview of the maslahah of the urgency of sharia-based risk management. This research is normative legal research using a statutory approach and a benefits approach with a qualitative descriptive analysis. The results of the discussion show that a dynamic system also needs to be supported by juridical aspects to provide the legal force with the realization of regulatory solidity. At this regulatory level, in addition to the regulations issued by the OJK, the DSN-MUI fatwa is also very necessary and has a very urgent position. Because financing risk management is also part of the sharia economy that must maintain sharia principles, lest the application of sharia principles only exists in product technicalities, but does not apply to technical risk management. The expected sharia is the application of total sharia principles (kaffah), not partial ones.","author":[{"dropping-particle":"","family":"Hidayati","given":"Tri","non-dropping-particle":"","parse-names":false,"suffix":""}],"container-title":"Al-Manahij: Jurnal Kajian Hukum Islam","id":"ITEM-1","issue":"2","issued":{"date-parts":[["2021"]]},"page":"201-220","title":"Urgensi fatwa DSN-MUI mengenai manajemen risiko pembiayaan berbasis syariah","type":"article-journal","volume":"15"},"uris":["http://www.mendeley.com/documents/?uuid=b3531fc7-0b5e-418a-9ed4-dcc2601817e6"]}],"mendeley":{"formattedCitation":"Hidayati, “Urgensi Fatwa DSN-MUI Mengenai Manajemen Risiko Pembiayaan Berbasis Syariah.”","plainTextFormattedCitation":"Hidayati, “Urgensi Fatwa DSN-MUI Mengenai Manajemen Risiko Pembiayaan Berbasis Syariah.”","previouslyFormattedCitation":"Hidayati, “Urgensi Fatwa DSN-MUI Mengenai Manajemen Risiko Pembiayaan Berbasis Syariah.”"},"properties":{"noteIndex":0},"schema":"https://github.com/citation-style-language/schema/raw/master/csl-citation.json"}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Hidayati, “Urgensi Fatwa DSN-MUI Mengenai Manajemen Risiko Pembiayaan Berbasis Syariah.”</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{"citationItems":[{"id":"ITEM-1","itemData":{"DOI":"10.22515/islimus.v1i2.499","abstract":"he emergence of Islamic banking was considered as a response to the desire of Muslim communities to disassociate rom usury (riba based) system. he development of time increasing the diversity of inancial transactions, both in trading and banking business, which has no provisions in the old sources of Islamic jurisprudence. his dangerous phenomenon was the reason for the importance of a Sharia Supervisory Board to ensure all of banking transactions comply with the rules and principles of sharia. his research focused on the role of National Sharia Board and his methodology in fatwa. his research uses analytical descriptive methodology. he limitations of this research were about: how the National Sharia Board played their roles in Indonesia and how the method applied by the National Sharia Board in issuing a fatwa. he research found that: the National Sharia Board in Indonesia has played their roles, especially in developing Islamic inance industry, ensuring inancial and banking transaction comply with the rules and principles of sharia, and providing awareness and guidance to the Muslim communities. he issuing of fatwa on inancial transactions was the authority of the National Sharia Board. he National Sharia Board hold on procedures, speciic steps, and certain agreed methodology in issuing fatwa. Nevertheless, there still some fatwas that caused controversy in the Islamic community","author":[{"dropping-particle":"","family":"Syamsuddīin","given":"</w:instrText>
      </w:r>
      <w:r w:rsidRPr="000D5261">
        <w:rPr>
          <w:rFonts w:ascii="Cambria" w:hAnsi="Cambria" w:cs="Cambria"/>
        </w:rPr>
        <w:instrText>Ḥ</w:instrText>
      </w:r>
      <w:r w:rsidRPr="000D5261">
        <w:rPr>
          <w:rFonts w:ascii="Garamond" w:hAnsi="Garamond"/>
        </w:rPr>
        <w:instrText>atta","non-dropping-particle":"","parse-names":false,"suffix":""},{"dropping-particle":"","family":"Khaliq","given":"'Abdul","non-dropping-particle":"","parse-names":false,"suffix":""},{"dropping-particle":"","family":"Mu'īnudīnillāh","given":"Mu</w:instrText>
      </w:r>
      <w:r w:rsidRPr="000D5261">
        <w:rPr>
          <w:rFonts w:ascii="Cambria" w:hAnsi="Cambria" w:cs="Cambria"/>
        </w:rPr>
        <w:instrText>ḥ</w:instrText>
      </w:r>
      <w:r w:rsidRPr="000D5261">
        <w:rPr>
          <w:rFonts w:ascii="Garamond" w:hAnsi="Garamond"/>
        </w:rPr>
        <w:instrText>ammad","non-dropping-particle":"","parse-names":false,"suffix":""}],"container-title":"Indonesian Journal of Islamic Literature and Muslim Society","id":"ITEM-1","issue":"2","issued":{"date-parts":[["2016"]]},"page":"22","title":"Daur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dirāsah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naqdiyah","type":"article-journal","volume":"1"},"uris":["http://www.mendeley.com/documents/?uuid=bd2e8bcf-1ff1-4d5d-a8ed-d466c248af6b"]}],"mendeley":{"formattedCitation":"Syamsudd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 xml:space="preserve">iyyah </w:instrText>
      </w:r>
      <w:r w:rsidRPr="000D5261">
        <w:rPr>
          <w:rFonts w:ascii="Garamond" w:hAnsi="Garamond" w:cs="Garamond"/>
        </w:rPr>
        <w:instrText>’</w:instrText>
      </w:r>
      <w:r w:rsidRPr="000D5261">
        <w:rPr>
          <w:rFonts w:ascii="Garamond" w:hAnsi="Garamond"/>
        </w:rPr>
        <w:instrText>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","plainTextFormattedCitation":"Syamsudd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","previouslyFormattedCitation":"Syamsudd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Syamsuddīin, Khaliq, and Mu’īnudīnillāh, “Daur Haiah Al-Wa</w:t>
      </w:r>
      <w:r w:rsidRPr="000D5261">
        <w:rPr>
          <w:rFonts w:ascii="Cambria" w:hAnsi="Cambria" w:cs="Cambria"/>
          <w:noProof/>
        </w:rPr>
        <w:t>ṭ</w:t>
      </w:r>
      <w:r w:rsidRPr="000D5261">
        <w:rPr>
          <w:rFonts w:ascii="Garamond" w:hAnsi="Garamond"/>
          <w:noProof/>
        </w:rPr>
        <w:t>aniyah F</w:t>
      </w:r>
      <w:r w:rsidRPr="000D5261">
        <w:rPr>
          <w:rFonts w:ascii="Garamond" w:hAnsi="Garamond" w:cs="Garamond"/>
          <w:noProof/>
        </w:rPr>
        <w:t>ī</w:t>
      </w:r>
      <w:r w:rsidRPr="000D5261">
        <w:rPr>
          <w:rFonts w:ascii="Garamond" w:hAnsi="Garamond"/>
          <w:noProof/>
        </w:rPr>
        <w:t xml:space="preserve"> Ar-Riqabah Asy-Syar</w:t>
      </w:r>
      <w:r w:rsidRPr="000D5261">
        <w:rPr>
          <w:rFonts w:ascii="Garamond" w:hAnsi="Garamond" w:cs="Garamond"/>
          <w:noProof/>
        </w:rPr>
        <w:t>’</w:t>
      </w:r>
      <w:r w:rsidRPr="000D5261">
        <w:rPr>
          <w:rFonts w:ascii="Garamond" w:hAnsi="Garamond"/>
          <w:noProof/>
        </w:rPr>
        <w:t xml:space="preserve">iyyah </w:t>
      </w:r>
      <w:r w:rsidRPr="000D5261">
        <w:rPr>
          <w:rFonts w:ascii="Garamond" w:hAnsi="Garamond" w:cs="Garamond"/>
          <w:noProof/>
        </w:rPr>
        <w:t>’</w:t>
      </w:r>
      <w:r w:rsidRPr="000D5261">
        <w:rPr>
          <w:rFonts w:ascii="Garamond" w:hAnsi="Garamond"/>
          <w:noProof/>
        </w:rPr>
        <w:t>ala Ma</w:t>
      </w:r>
      <w:r w:rsidRPr="000D5261">
        <w:rPr>
          <w:rFonts w:ascii="Cambria" w:hAnsi="Cambria" w:cs="Cambria"/>
          <w:noProof/>
        </w:rPr>
        <w:t>ṣ</w:t>
      </w:r>
      <w:r w:rsidRPr="000D5261">
        <w:rPr>
          <w:rFonts w:ascii="Garamond" w:hAnsi="Garamond" w:cs="Garamond"/>
          <w:noProof/>
        </w:rPr>
        <w:t>ā</w:t>
      </w:r>
      <w:r w:rsidRPr="000D5261">
        <w:rPr>
          <w:rFonts w:ascii="Garamond" w:hAnsi="Garamond"/>
          <w:noProof/>
        </w:rPr>
        <w:t>rif Al-Isl</w:t>
      </w:r>
      <w:r w:rsidRPr="000D5261">
        <w:rPr>
          <w:rFonts w:ascii="Garamond" w:hAnsi="Garamond" w:cs="Garamond"/>
          <w:noProof/>
        </w:rPr>
        <w:t>ā</w:t>
      </w:r>
      <w:r w:rsidRPr="000D5261">
        <w:rPr>
          <w:rFonts w:ascii="Garamond" w:hAnsi="Garamond"/>
          <w:noProof/>
        </w:rPr>
        <w:t>miyah F</w:t>
      </w:r>
      <w:r w:rsidRPr="000D5261">
        <w:rPr>
          <w:rFonts w:ascii="Garamond" w:hAnsi="Garamond" w:cs="Garamond"/>
          <w:noProof/>
        </w:rPr>
        <w:t>ī</w:t>
      </w:r>
      <w:r w:rsidRPr="000D5261">
        <w:rPr>
          <w:rFonts w:ascii="Garamond" w:hAnsi="Garamond"/>
          <w:noProof/>
        </w:rPr>
        <w:t xml:space="preserve"> Dirasah Ind</w:t>
      </w:r>
      <w:r w:rsidRPr="000D5261">
        <w:rPr>
          <w:rFonts w:ascii="Garamond" w:hAnsi="Garamond" w:cs="Garamond"/>
          <w:noProof/>
        </w:rPr>
        <w:t>ū</w:t>
      </w:r>
      <w:r w:rsidRPr="000D5261">
        <w:rPr>
          <w:rFonts w:ascii="Garamond" w:hAnsi="Garamond"/>
          <w:noProof/>
        </w:rPr>
        <w:t>nisiya Wa Manhajuh</w:t>
      </w:r>
      <w:r w:rsidRPr="000D5261">
        <w:rPr>
          <w:rFonts w:ascii="Garamond" w:hAnsi="Garamond" w:cs="Garamond"/>
          <w:noProof/>
        </w:rPr>
        <w:t>ā</w:t>
      </w:r>
      <w:r w:rsidRPr="000D5261">
        <w:rPr>
          <w:rFonts w:ascii="Garamond" w:hAnsi="Garamond"/>
          <w:noProof/>
        </w:rPr>
        <w:t xml:space="preserve"> F</w:t>
      </w:r>
      <w:r w:rsidRPr="000D5261">
        <w:rPr>
          <w:rFonts w:ascii="Garamond" w:hAnsi="Garamond" w:cs="Garamond"/>
          <w:noProof/>
        </w:rPr>
        <w:t>ī</w:t>
      </w:r>
      <w:r w:rsidRPr="000D5261">
        <w:rPr>
          <w:rFonts w:ascii="Garamond" w:hAnsi="Garamond"/>
          <w:noProof/>
        </w:rPr>
        <w:t xml:space="preserve"> Al-Fatw</w:t>
      </w:r>
      <w:r w:rsidRPr="000D5261">
        <w:rPr>
          <w:rFonts w:ascii="Garamond" w:hAnsi="Garamond" w:cs="Garamond"/>
          <w:noProof/>
        </w:rPr>
        <w:t>ā</w:t>
      </w:r>
      <w:r w:rsidRPr="000D5261">
        <w:rPr>
          <w:rFonts w:ascii="Garamond" w:hAnsi="Garamond"/>
          <w:noProof/>
        </w:rPr>
        <w:t>: Dir</w:t>
      </w:r>
      <w:r w:rsidRPr="000D5261">
        <w:rPr>
          <w:rFonts w:ascii="Garamond" w:hAnsi="Garamond" w:cs="Garamond"/>
          <w:noProof/>
        </w:rPr>
        <w:t>ā</w:t>
      </w:r>
      <w:r w:rsidRPr="000D5261">
        <w:rPr>
          <w:rFonts w:ascii="Garamond" w:hAnsi="Garamond"/>
          <w:noProof/>
        </w:rPr>
        <w:t>sah Wa</w:t>
      </w:r>
      <w:r w:rsidRPr="000D5261">
        <w:rPr>
          <w:rFonts w:ascii="Cambria" w:hAnsi="Cambria" w:cs="Cambria"/>
          <w:noProof/>
        </w:rPr>
        <w:t>ṣ</w:t>
      </w:r>
      <w:r w:rsidRPr="000D5261">
        <w:rPr>
          <w:rFonts w:ascii="Garamond" w:hAnsi="Garamond"/>
          <w:noProof/>
        </w:rPr>
        <w:t>fiyah Tahl</w:t>
      </w:r>
      <w:r w:rsidRPr="000D5261">
        <w:rPr>
          <w:rFonts w:ascii="Garamond" w:hAnsi="Garamond" w:cs="Garamond"/>
          <w:noProof/>
        </w:rPr>
        <w:t>ī</w:t>
      </w:r>
      <w:r w:rsidRPr="000D5261">
        <w:rPr>
          <w:rFonts w:ascii="Garamond" w:hAnsi="Garamond"/>
          <w:noProof/>
        </w:rPr>
        <w:t>liyah Naqdiyah.</w:t>
      </w:r>
      <w:r w:rsidRPr="000D5261">
        <w:rPr>
          <w:rFonts w:ascii="Garamond" w:hAnsi="Garamond" w:cs="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13">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{"citationItems":[{"id":"ITEM-1","itemData":{"DOI":"10.35905/diktum.v15i2.432","abstract":"Abstrak: Maslahat merupakan tujuan utama dalam agama Islam, Allah menurunkan ajaran terutama dalam masalah hukum Islam tidak bisa dilepaskan untuk kemaslahatan manusia, walaupun terjadi perbedaan pada hakikat kemaslahatan dari segi sumber maslahat, tetapi ulama bersepakat dalam hal tujuan utama hukum Islam adalah jalb al-mashalih wa daru al-mafasid, bagaimana hukum Islam dapat sebanyak mungkin memberikan manfaat dan kebaikan pada manusia sekaligus menghilangkan segala kemungkinan terjadinya kerusakan dan bahaya bagi manusia.","author":[{"dropping-particle":"","family":"Rusdi","given":"Muhammad Ali","non-dropping-particle":"","parse-names":false,"suffix":""}],"container-title":"DIKTUM: Jurnal Syariah dan Hukum","id":"ITEM-1","issue":"2","issued":{"date-parts":[["2017"]]},"page":"151-168","title":"Maslahat sebagai metode ijtihad dan tujuan utama hukum Islam","type":"article-journal","volume":"15"},"uris":["http://www.mendeley.com/documents/?uuid=553db68b-52d6-4a5f-92cf-35544de8b5da"]}],"mendeley":{"formattedCitation":"Muhammad Ali Rusdi, “Maslahat Sebagai Metode Ijtihad Dan Tujuan Utama Hukum Islam,” &lt;i&gt;DIKTUM: Jurnal Syariah Dan Hukum&lt;/i&gt; 15, no. 2 (2017): 151–68, doi:10.35905/diktum.v15i2.432.","plainTextFormattedCitation":"Muhammad Ali Rusdi, “Maslahat Sebagai Metode Ijtihad Dan Tujuan Utama Hukum Islam,” DIKTUM: Jurnal Syariah Dan Hukum 15, no. 2 (2017): 151–68, doi:10.35905/diktum.v15i2.432.","previouslyFormattedCitation":"Muhammad Ali Rusdi, “Maslahat Sebagai Metode Ijtihad Dan Tujuan Utama Hukum Islam,” &lt;i&gt;DIKTUM: Jurnal Syariah Dan Hukum&lt;/i&gt; 15, no. 2 (2017): 151–68, doi:10.35905/diktum.v15i2.432."},"properties":{"noteIndex":0},"schema":"https://github.com/citation-style-language/schema/raw/master/csl-citation.json"}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Muhammad Ali Rusdi, “Maslahat Sebagai Metode Ijtihad Dan Tujuan Utama Hukum Islam,” </w:t>
      </w:r>
      <w:r w:rsidRPr="000D5261">
        <w:rPr>
          <w:rFonts w:ascii="Garamond" w:hAnsi="Garamond"/>
          <w:i/>
          <w:noProof/>
        </w:rPr>
        <w:t>DIKTUM: Jurnal Syariah Dan Hukum</w:t>
      </w:r>
      <w:r w:rsidRPr="000D5261">
        <w:rPr>
          <w:rFonts w:ascii="Garamond" w:hAnsi="Garamond"/>
          <w:noProof/>
        </w:rPr>
        <w:t xml:space="preserve"> 15, no. 2 (2017): 151–68, doi:10.35905/diktum.v15i2.432.</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{"citationItems":[{"id":"ITEM-1","itemData":{"DOI":"10.21111/tsaqafah.v13i2.1183","abstract":"The concepts of maslahat and mafsadah known as the main reference in Islamic laws to resolve contemporary Muslims problems. The concepts of maslahat and mafsadah as a centre in maqâs}id al-syarî‘ah already discussed by Imam al-Ghazali in his books. Imam al-Ghazali well known to be the first scholars in the study of these concepts. Imam al-Ghazali’s highlights the concepts of maslahat and mafsadah should be based on the texts (nas}s}). However, Imam al-Ghazali mentioned the concept of maslahat used as a method not an absolute sources after al-Qur’an, al-Sunnah, ijmâ’ and qiyâs in the deriving of Islamic laws. This paper tries to explains the concepts of maslahat and mafsadah following the study conducted by Imam al-Ghazali. The findings suggests that Imam al-Ghazali well known as the first jurist who pioners the framework of maqâs}id al-syarî‘ah. There ara two reasons as to why he is considered as the pioneer of the concept of maqâs}id al-syarî‘ah. The first reason is due to his systematic and detailed treatment of the concepts in his last and definitive work on legal theory; al-Mustas}fa. The second reason is due to the use of his terminologies and classifications of the concept by later jurists. These all serve as the evidences to considering him as the pioneer of the concepts of maslahat and mafsadah as a legal theory. Moreover, Imam al-Ghazali tried to proposed several ‘tarjîh}’ methods how to apply the both concepts when there is a contradiction between the two concepts.","author":[{"dropping-particle":"","family":"Akbar Sarif","given":"Ridzwan Ahmad","non-dropping-particle":"","parse-names":false,"suffix":""}],"container-title":"Tsaqafah","id":"ITEM-1","issue":"2","issued":{"date-parts":[["2017"]]},"page":"15","title":"Konsep maslahat dan mafsadat menurut Imam al-Gazali","type":"article-journal","volume":"2"},"uris":["http://www.mendeley.com/documents/?uuid=64f68db6-16de-403f-bfd4-f485a2dcd971"]}],"mendeley":{"formattedCitation":"Akbar Sarif, “Konsep Maslahat Dan Mafsadat Menurut Imam Al-Gazali.”","plainTextFormattedCitation":"Akbar Sarif, “Konsep Maslahat Dan Mafsadat Menurut Imam Al-Gazali.”","previouslyFormattedCitation":"Akbar Sarif, “Konsep Maslahat Dan Mafsadat Menurut Imam Al-Gazali.”"},"properties":{"noteIndex":0},"schema":"https://github.com/citation-style-language/schema/raw/master/csl-citation.json"}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Akbar Sarif, “Konsep Maslahat Dan Mafsadat Menurut Imam Al-Gazali.”</w:t>
      </w:r>
      <w:r w:rsidRPr="000D5261">
        <w:rPr>
          <w:rFonts w:ascii="Garamond" w:hAnsi="Garamond"/>
        </w:rPr>
        <w:fldChar w:fldCharType="end"/>
      </w:r>
    </w:p>
    <w:p w:rsidR="00B97014" w:rsidRPr="000D5261" w:rsidRDefault="00B97014" w:rsidP="004A1695">
      <w:pPr>
        <w:pStyle w:val="EndnoteText"/>
        <w:jc w:val="both"/>
        <w:rPr>
          <w:rFonts w:ascii="Garamond" w:hAnsi="Garamond"/>
          <w:rtl/>
          <w:lang w:val="en-US"/>
        </w:rPr>
      </w:pPr>
    </w:p>
  </w:endnote>
  <w:endnote w:id="15">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 xml:space="preserve">ADDIN CSL_CITATION {"citationItems":[{"id":"ITEM-1","itemData":{"author":[{"dropping-particle":"","family":"Haidar","given":"Muhammad Aqil","non-dropping-particle":"","parse-names":false,"suffix":""}],"id":"ITEM-1","issued":{"date-parts":[["2021"]]},"number-of-pages":"209","publisher":"Pascasarjana Institut Ilmu Al-Quran (IIQ) Jakarta","title":"Aplikasi kaidah hal al-'Ibrah bi </w:instrText>
      </w:r>
      <w:r w:rsidRPr="000D5261">
        <w:rPr>
          <w:rFonts w:ascii="Cambria" w:hAnsi="Cambria" w:cs="Cambria"/>
        </w:rPr>
        <w:instrText>ṣ</w:instrText>
      </w:r>
      <w:r w:rsidRPr="000D5261">
        <w:rPr>
          <w:rFonts w:ascii="Garamond" w:hAnsi="Garamond"/>
        </w:rPr>
        <w:instrText xml:space="preserve">iyag al-'Uqud aw bi ma'aniha dalam fatwa Dewan Syariah Nasional (DSN) Majelis Ulama Indonesia (MUI)","type":"thesis"},"uris":["http://www.mendeley.com/documents/?uuid=7680789f-fe15-4b95-aeae-7c6cdb65cd54"]}],"mendeley":{"formattedCitation":"Muhammad Aqil Haidar, “Aplikasi Kaidah Hal Al-’Ibrah Bi </w:instrText>
      </w:r>
      <w:r w:rsidRPr="000D5261">
        <w:rPr>
          <w:rFonts w:ascii="Cambria" w:hAnsi="Cambria" w:cs="Cambria"/>
        </w:rPr>
        <w:instrText>Ṣ</w:instrText>
      </w:r>
      <w:r w:rsidRPr="000D5261">
        <w:rPr>
          <w:rFonts w:ascii="Garamond" w:hAnsi="Garamond"/>
        </w:rPr>
        <w:instrText>iyag Al-</w:instrText>
      </w:r>
      <w:r w:rsidRPr="000D5261">
        <w:rPr>
          <w:rFonts w:ascii="Garamond" w:hAnsi="Garamond" w:cs="Garamond"/>
        </w:rPr>
        <w:instrText>’</w:instrText>
      </w:r>
      <w:r w:rsidRPr="000D5261">
        <w:rPr>
          <w:rFonts w:ascii="Garamond" w:hAnsi="Garamond"/>
        </w:rPr>
        <w:instrText>Uqud Aw Bi Ma</w:instrText>
      </w:r>
      <w:r w:rsidRPr="000D5261">
        <w:rPr>
          <w:rFonts w:ascii="Garamond" w:hAnsi="Garamond" w:cs="Garamond"/>
        </w:rPr>
        <w:instrText>’</w:instrText>
      </w:r>
      <w:r w:rsidRPr="000D5261">
        <w:rPr>
          <w:rFonts w:ascii="Garamond" w:hAnsi="Garamond"/>
        </w:rPr>
        <w:instrText>aniha Dalam Fatwa Dewan Syariah Nasional (DSN) Majelis Ulama Indonesia (MUI)</w:instrText>
      </w:r>
      <w:r w:rsidRPr="000D5261">
        <w:rPr>
          <w:rFonts w:ascii="Garamond" w:hAnsi="Garamond" w:cs="Garamond"/>
        </w:rPr>
        <w:instrText>”</w:instrText>
      </w:r>
      <w:r w:rsidRPr="000D5261">
        <w:rPr>
          <w:rFonts w:ascii="Garamond" w:hAnsi="Garamond"/>
        </w:rPr>
        <w:instrText xml:space="preserve"> (Pascasarjana Institut Ilmu Al-Quran (IIQ) Jakarta, 2021), http://repository.iiq.ac.id/handle/123456789/1251.","plainTextFormattedCitation":"Muhammad Aqil Haidar, “Aplikasi Kaidah Hal Al-’Ibrah Bi </w:instrText>
      </w:r>
      <w:r w:rsidRPr="000D5261">
        <w:rPr>
          <w:rFonts w:ascii="Cambria" w:hAnsi="Cambria" w:cs="Cambria"/>
        </w:rPr>
        <w:instrText>Ṣ</w:instrText>
      </w:r>
      <w:r w:rsidRPr="000D5261">
        <w:rPr>
          <w:rFonts w:ascii="Garamond" w:hAnsi="Garamond"/>
        </w:rPr>
        <w:instrText>iyag Al-</w:instrText>
      </w:r>
      <w:r w:rsidRPr="000D5261">
        <w:rPr>
          <w:rFonts w:ascii="Garamond" w:hAnsi="Garamond" w:cs="Garamond"/>
        </w:rPr>
        <w:instrText>’</w:instrText>
      </w:r>
      <w:r w:rsidRPr="000D5261">
        <w:rPr>
          <w:rFonts w:ascii="Garamond" w:hAnsi="Garamond"/>
        </w:rPr>
        <w:instrText>Uqud Aw Bi Ma</w:instrText>
      </w:r>
      <w:r w:rsidRPr="000D5261">
        <w:rPr>
          <w:rFonts w:ascii="Garamond" w:hAnsi="Garamond" w:cs="Garamond"/>
        </w:rPr>
        <w:instrText>’</w:instrText>
      </w:r>
      <w:r w:rsidRPr="000D5261">
        <w:rPr>
          <w:rFonts w:ascii="Garamond" w:hAnsi="Garamond"/>
        </w:rPr>
        <w:instrText>aniha Dalam Fatwa Dewan Syariah Nasional (DSN) Majelis Ulama Indonesia (MUI)</w:instrText>
      </w:r>
      <w:r w:rsidRPr="000D5261">
        <w:rPr>
          <w:rFonts w:ascii="Garamond" w:hAnsi="Garamond" w:cs="Garamond"/>
        </w:rPr>
        <w:instrText>”</w:instrText>
      </w:r>
      <w:r w:rsidRPr="000D5261">
        <w:rPr>
          <w:rFonts w:ascii="Garamond" w:hAnsi="Garamond"/>
        </w:rPr>
        <w:instrText xml:space="preserve"> (Pascasarjana Institut Ilmu Al-Quran (IIQ) Jakarta, 2021), http://repository.iiq.ac.id/handle/123456789/1251.","previouslyFormattedCitation":"Muhammad Aqil Haidar, “Aplikasi Kaidah Hal Al-’Ibrah Bi </w:instrText>
      </w:r>
      <w:r w:rsidRPr="000D5261">
        <w:rPr>
          <w:rFonts w:ascii="Cambria" w:hAnsi="Cambria" w:cs="Cambria"/>
        </w:rPr>
        <w:instrText>Ṣ</w:instrText>
      </w:r>
      <w:r w:rsidRPr="000D5261">
        <w:rPr>
          <w:rFonts w:ascii="Garamond" w:hAnsi="Garamond"/>
        </w:rPr>
        <w:instrText>iyag Al-</w:instrText>
      </w:r>
      <w:r w:rsidRPr="000D5261">
        <w:rPr>
          <w:rFonts w:ascii="Garamond" w:hAnsi="Garamond" w:cs="Garamond"/>
        </w:rPr>
        <w:instrText>’</w:instrText>
      </w:r>
      <w:r w:rsidRPr="000D5261">
        <w:rPr>
          <w:rFonts w:ascii="Garamond" w:hAnsi="Garamond"/>
        </w:rPr>
        <w:instrText>Uqud Aw Bi Ma</w:instrText>
      </w:r>
      <w:r w:rsidRPr="000D5261">
        <w:rPr>
          <w:rFonts w:ascii="Garamond" w:hAnsi="Garamond" w:cs="Garamond"/>
        </w:rPr>
        <w:instrText>’</w:instrText>
      </w:r>
      <w:r w:rsidRPr="000D5261">
        <w:rPr>
          <w:rFonts w:ascii="Garamond" w:hAnsi="Garamond"/>
        </w:rPr>
        <w:instrText>aniha Dalam Fatwa Dewan Syariah Nasional (DSN) Majelis Ulama Indonesia (MUI)” (Pascasarjana Institut Ilmu Al-Quran (IIQ) Jakarta, 2021), http://repository.iiq.ac.id/handle/123456789/1251."},"properties":{"noteIndex":0},"schema":"https://github.com/citation-style-language/schema/raw/master/csl-citation.json"}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Muhammad Aqil Haidar, “Aplikasi Kaidah Hal Al-’Ibrah Bi </w:t>
      </w:r>
      <w:r w:rsidRPr="000D5261">
        <w:rPr>
          <w:rFonts w:ascii="Cambria" w:hAnsi="Cambria" w:cs="Cambria"/>
          <w:noProof/>
        </w:rPr>
        <w:t>Ṣ</w:t>
      </w:r>
      <w:r w:rsidRPr="000D5261">
        <w:rPr>
          <w:rFonts w:ascii="Garamond" w:hAnsi="Garamond"/>
          <w:noProof/>
        </w:rPr>
        <w:t>iyag Al-</w:t>
      </w:r>
      <w:r w:rsidRPr="000D5261">
        <w:rPr>
          <w:rFonts w:ascii="Garamond" w:hAnsi="Garamond" w:cs="Garamond"/>
          <w:noProof/>
        </w:rPr>
        <w:t>’</w:t>
      </w:r>
      <w:r w:rsidRPr="000D5261">
        <w:rPr>
          <w:rFonts w:ascii="Garamond" w:hAnsi="Garamond"/>
          <w:noProof/>
        </w:rPr>
        <w:t>Uqud Aw Bi Ma</w:t>
      </w:r>
      <w:r w:rsidRPr="000D5261">
        <w:rPr>
          <w:rFonts w:ascii="Garamond" w:hAnsi="Garamond" w:cs="Garamond"/>
          <w:noProof/>
        </w:rPr>
        <w:t>’</w:t>
      </w:r>
      <w:r w:rsidRPr="000D5261">
        <w:rPr>
          <w:rFonts w:ascii="Garamond" w:hAnsi="Garamond"/>
          <w:noProof/>
        </w:rPr>
        <w:t>aniha Dalam Fatwa Dewan Syariah Nasional (DSN) Majelis Ulama Indonesia (MUI)</w:t>
      </w:r>
      <w:r w:rsidRPr="000D5261">
        <w:rPr>
          <w:rFonts w:ascii="Garamond" w:hAnsi="Garamond" w:cs="Garamond"/>
          <w:noProof/>
        </w:rPr>
        <w:t>”</w:t>
      </w:r>
      <w:r w:rsidRPr="000D5261">
        <w:rPr>
          <w:rFonts w:ascii="Garamond" w:hAnsi="Garamond"/>
          <w:noProof/>
        </w:rPr>
        <w:t xml:space="preserve"> (Pascasarjana Institut Ilmu Al-Quran (IIQ) Jakarta, 2021), http://repository.iiq.ac.id/handle/123456789/1251.</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6">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{"citationItems":[{"id":"ITEM-1","itemData":{"author":[{"dropping-particle":"","family":"Syarifuddin","given":"Amir","non-dropping-particle":"","parse-names":false,"suffix":""}],"edition":"Jilid II","id":"ITEM-1","issued":{"date-parts":[["1999"]]},"number-of-pages":"323","publisher":"PT Logos wacana Ilmu","publisher-place":"Ciputat","title":"Ushul fiqh","type":"book"},"uris":["http://www.mendeley.com/documents/?uuid=4f6e7656-0630-4197-a404-2dbab6c62899"]}],"mendeley":{"formattedCitation":"Amir Syarifuddin, &lt;i&gt;Ushul Fiqh&lt;/i&gt;, Jilid II (Ciputat: PT Logos wacana Ilmu, 1999), https://pustakaaceh.perpusnas.go.id/detail-opac?id=19199.","plainTextFormattedCitation":"Amir Syarifuddin, Ushul Fiqh, Jilid II (Ciputat: PT Logos wacana Ilmu, 1999), https://pustakaaceh.perpusnas.go.id/detail-opac?id=19199.","previouslyFormattedCitation":"Amir Syarifuddin, &lt;i&gt;Ushul Fiqh&lt;/i&gt;, Jilid II (Ciputat: PT Logos wacana Ilmu, 1999), https://pustakaaceh.perpusnas.go.id/detail-opac?id=19199."},"properties":{"noteIndex":0},"schema":"https://github.com/citation-style-language/schema/raw/master/csl-citation.json"}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Amir Syarifuddin, </w:t>
      </w:r>
      <w:r w:rsidRPr="000D5261">
        <w:rPr>
          <w:rFonts w:ascii="Garamond" w:hAnsi="Garamond"/>
          <w:i/>
          <w:noProof/>
        </w:rPr>
        <w:t>Ushul Fiqh</w:t>
      </w:r>
      <w:r w:rsidRPr="000D5261">
        <w:rPr>
          <w:rFonts w:ascii="Garamond" w:hAnsi="Garamond"/>
          <w:noProof/>
        </w:rPr>
        <w:t>, Jilid II (Ciputat: PT Logos wacana Ilmu, 1999), https://pustakaaceh.perpusnas.go.id/detail-opac?id=19199.</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7">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{"citationItems":[{"id":"ITEM-1","itemData":{"author":[{"dropping-particle":"","family":"Al-Gazālī","given":"Al-Gazālī","non-dropping-particle":"","parse-names":false,"suffix":""}],"edition":"Jilid II","id":"ITEM-1","issued":{"date-parts":[["1413"]]},"number-of-pages":"175","publisher":"Dār Al-Kutub Al-'Ilmiyyah","publisher-place":"Beirut","title":"Al-Mus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","type":"book"},"uris":["http://www.mendeley.com/documents/?uuid=3a2f92a2-796b-40f8-8598-8a9d1f23e329"]}],"mendeley":{"formattedCitation":"Al-Gazālī Al-Gazālī,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 Jilid II (Beirut: D</w:instrText>
      </w:r>
      <w:r w:rsidRPr="000D5261">
        <w:rPr>
          <w:rFonts w:ascii="Garamond" w:hAnsi="Garamond" w:cs="Garamond"/>
        </w:rPr>
        <w:instrText>ā</w:instrText>
      </w:r>
      <w:r w:rsidRPr="000D5261">
        <w:rPr>
          <w:rFonts w:ascii="Garamond" w:hAnsi="Garamond"/>
        </w:rPr>
        <w:instrText>r Al-Kutub Al-</w:instrText>
      </w:r>
      <w:r w:rsidRPr="000D5261">
        <w:rPr>
          <w:rFonts w:ascii="Garamond" w:hAnsi="Garamond" w:cs="Garamond"/>
        </w:rPr>
        <w:instrText>’</w:instrText>
      </w:r>
      <w:r w:rsidRPr="000D5261">
        <w:rPr>
          <w:rFonts w:ascii="Garamond" w:hAnsi="Garamond"/>
        </w:rPr>
        <w:instrText>Ilmiyyah, 1413), https://al-maktaba.org/book/5459.","plainTextFormattedCitation":"Al-Gaz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xml:space="preserve"> 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 Jilid II (Beirut: D</w:instrText>
      </w:r>
      <w:r w:rsidRPr="000D5261">
        <w:rPr>
          <w:rFonts w:ascii="Garamond" w:hAnsi="Garamond" w:cs="Garamond"/>
        </w:rPr>
        <w:instrText>ā</w:instrText>
      </w:r>
      <w:r w:rsidRPr="000D5261">
        <w:rPr>
          <w:rFonts w:ascii="Garamond" w:hAnsi="Garamond"/>
        </w:rPr>
        <w:instrText>r Al-Kutub Al-</w:instrText>
      </w:r>
      <w:r w:rsidRPr="000D5261">
        <w:rPr>
          <w:rFonts w:ascii="Garamond" w:hAnsi="Garamond" w:cs="Garamond"/>
        </w:rPr>
        <w:instrText>’</w:instrText>
      </w:r>
      <w:r w:rsidRPr="000D5261">
        <w:rPr>
          <w:rFonts w:ascii="Garamond" w:hAnsi="Garamond"/>
        </w:rPr>
        <w:instrText>Ilmiyyah, 1413), https://al-maktaba.org/book/5459.","previouslyFormattedCitation":"Al-Gazālī Al-Gazālī,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 Jilid II (Beirut: D</w:instrText>
      </w:r>
      <w:r w:rsidRPr="000D5261">
        <w:rPr>
          <w:rFonts w:ascii="Garamond" w:hAnsi="Garamond" w:cs="Garamond"/>
        </w:rPr>
        <w:instrText>ā</w:instrText>
      </w:r>
      <w:r w:rsidRPr="000D5261">
        <w:rPr>
          <w:rFonts w:ascii="Garamond" w:hAnsi="Garamond"/>
        </w:rPr>
        <w:instrText>r Al-Kutub Al-</w:instrText>
      </w:r>
      <w:r w:rsidRPr="000D5261">
        <w:rPr>
          <w:rFonts w:ascii="Garamond" w:hAnsi="Garamond" w:cs="Garamond"/>
        </w:rPr>
        <w:instrText>’</w:instrText>
      </w:r>
      <w:r w:rsidRPr="000D5261">
        <w:rPr>
          <w:rFonts w:ascii="Garamond" w:hAnsi="Garamond"/>
        </w:rPr>
        <w:instrText>Ilmiyyah, 1413), https://al-maktaba.org/book/5459."},"properties":{"noteIndex":0},"schema":"https://github.com/citation-style-language/schema/raw/master/csl-citation.json"}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Al-Gazālī Al-Gazālī, </w:t>
      </w:r>
      <w:r w:rsidRPr="000D5261">
        <w:rPr>
          <w:rFonts w:ascii="Garamond" w:hAnsi="Garamond"/>
          <w:i/>
          <w:noProof/>
        </w:rPr>
        <w:t>Al-Mus</w:t>
      </w:r>
      <w:r w:rsidRPr="000D5261">
        <w:rPr>
          <w:rFonts w:ascii="Cambria" w:hAnsi="Cambria" w:cs="Cambria"/>
          <w:i/>
          <w:noProof/>
        </w:rPr>
        <w:t>ṭ</w:t>
      </w:r>
      <w:r w:rsidRPr="000D5261">
        <w:rPr>
          <w:rFonts w:ascii="Garamond" w:hAnsi="Garamond"/>
          <w:i/>
          <w:noProof/>
        </w:rPr>
        <w:t>af</w:t>
      </w:r>
      <w:r w:rsidRPr="000D5261">
        <w:rPr>
          <w:rFonts w:ascii="Garamond" w:hAnsi="Garamond" w:cs="Garamond"/>
          <w:i/>
          <w:noProof/>
        </w:rPr>
        <w:t>ā</w:t>
      </w:r>
      <w:r w:rsidRPr="000D5261">
        <w:rPr>
          <w:rFonts w:ascii="Garamond" w:hAnsi="Garamond"/>
          <w:noProof/>
        </w:rPr>
        <w:t>, Jilid II (Beirut: Dār Al-Kutub Al-’Ilmiyyah, 1413), https://al-maktaba.org/book/5459.</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8">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{"citationItems":[{"id":"ITEM-1","itemData":{"author":[{"dropping-particle":"","family":"Taimiyah","given":"Ibn","non-dropping-particle":"","parse-names":false,"suffix":""}],"id":"ITEM-1","issued":{"date-parts":[["2003"]]},"number-of-pages":"263","publisher":"Majma' al-Malik fahd li</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ā</w:instrText>
      </w:r>
      <w:r w:rsidRPr="000D5261">
        <w:rPr>
          <w:rFonts w:ascii="Garamond" w:hAnsi="Garamond"/>
        </w:rPr>
        <w:instrText>'ah al-mu</w:instrText>
      </w:r>
      <w:r w:rsidRPr="000D5261">
        <w:rPr>
          <w:rFonts w:ascii="Cambria" w:hAnsi="Cambria" w:cs="Cambria"/>
        </w:rPr>
        <w:instrText>ṣ</w:instrText>
      </w:r>
      <w:r w:rsidRPr="000D5261">
        <w:rPr>
          <w:rFonts w:ascii="Garamond" w:hAnsi="Garamond"/>
        </w:rPr>
        <w:instrText>haf asy-syar</w:instrText>
      </w:r>
      <w:r w:rsidRPr="000D5261">
        <w:rPr>
          <w:rFonts w:ascii="Garamond" w:hAnsi="Garamond" w:cs="Garamond"/>
        </w:rPr>
        <w:instrText>ī</w:instrText>
      </w:r>
      <w:r w:rsidRPr="000D5261">
        <w:rPr>
          <w:rFonts w:ascii="Garamond" w:hAnsi="Garamond"/>
        </w:rPr>
        <w:instrText>f","publisher-place":"Al-Madinah al-Munawwarah, Saudi Arabia","title":"Majmū' al-Fatāwā","type":"book"},"uris":["http://www.mendeley.com/documents/?uuid=f1c68266-f9c9-48ab-9b85-f1a458c09dd2"]}],"mendeley":{"formattedCitation":"Ibn Taimiyah, &lt;i&gt;Majmū’ Al-Fatāwā&lt;/i&gt; (Al-Madinah al-Munawwarah, Saudi Arabia: Majma’ al-Malik fahd li</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ā’</w:instrText>
      </w:r>
      <w:r w:rsidRPr="000D5261">
        <w:rPr>
          <w:rFonts w:ascii="Garamond" w:hAnsi="Garamond"/>
        </w:rPr>
        <w:instrText>ah al-mu</w:instrText>
      </w:r>
      <w:r w:rsidRPr="000D5261">
        <w:rPr>
          <w:rFonts w:ascii="Cambria" w:hAnsi="Cambria" w:cs="Cambria"/>
        </w:rPr>
        <w:instrText>ṣ</w:instrText>
      </w:r>
      <w:r w:rsidRPr="000D5261">
        <w:rPr>
          <w:rFonts w:ascii="Garamond" w:hAnsi="Garamond"/>
        </w:rPr>
        <w:instrText>haf asy-syar</w:instrText>
      </w:r>
      <w:r w:rsidRPr="000D5261">
        <w:rPr>
          <w:rFonts w:ascii="Garamond" w:hAnsi="Garamond" w:cs="Garamond"/>
        </w:rPr>
        <w:instrText>ī</w:instrText>
      </w:r>
      <w:r w:rsidRPr="000D5261">
        <w:rPr>
          <w:rFonts w:ascii="Garamond" w:hAnsi="Garamond"/>
        </w:rPr>
        <w:instrText>f, 2003), https://al-maktaba.org/book/7289.","plainTextFormattedCitation":"Ibn Taimiyah, Majm</w:instrText>
      </w:r>
      <w:r w:rsidRPr="000D5261">
        <w:rPr>
          <w:rFonts w:ascii="Garamond" w:hAnsi="Garamond" w:cs="Garamond"/>
        </w:rPr>
        <w:instrText>ū’</w:instrText>
      </w:r>
      <w:r w:rsidRPr="000D5261">
        <w:rPr>
          <w:rFonts w:ascii="Garamond" w:hAnsi="Garamond"/>
        </w:rPr>
        <w:instrText xml:space="preserve"> Al-Fat</w:instrText>
      </w:r>
      <w:r w:rsidRPr="000D5261">
        <w:rPr>
          <w:rFonts w:ascii="Garamond" w:hAnsi="Garamond" w:cs="Garamond"/>
        </w:rPr>
        <w:instrText>ā</w:instrText>
      </w:r>
      <w:r w:rsidRPr="000D5261">
        <w:rPr>
          <w:rFonts w:ascii="Garamond" w:hAnsi="Garamond"/>
        </w:rPr>
        <w:instrText>w</w:instrText>
      </w:r>
      <w:r w:rsidRPr="000D5261">
        <w:rPr>
          <w:rFonts w:ascii="Garamond" w:hAnsi="Garamond" w:cs="Garamond"/>
        </w:rPr>
        <w:instrText>ā</w:instrText>
      </w:r>
      <w:r w:rsidRPr="000D5261">
        <w:rPr>
          <w:rFonts w:ascii="Garamond" w:hAnsi="Garamond"/>
        </w:rPr>
        <w:instrText xml:space="preserve"> (Al-Madinah al-Munawwarah, Saudi Arabia: Majma</w:instrText>
      </w:r>
      <w:r w:rsidRPr="000D5261">
        <w:rPr>
          <w:rFonts w:ascii="Garamond" w:hAnsi="Garamond" w:cs="Garamond"/>
        </w:rPr>
        <w:instrText>’</w:instrText>
      </w:r>
      <w:r w:rsidRPr="000D5261">
        <w:rPr>
          <w:rFonts w:ascii="Garamond" w:hAnsi="Garamond"/>
        </w:rPr>
        <w:instrText xml:space="preserve"> al-Malik fahd li</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ā’</w:instrText>
      </w:r>
      <w:r w:rsidRPr="000D5261">
        <w:rPr>
          <w:rFonts w:ascii="Garamond" w:hAnsi="Garamond"/>
        </w:rPr>
        <w:instrText>ah al-mu</w:instrText>
      </w:r>
      <w:r w:rsidRPr="000D5261">
        <w:rPr>
          <w:rFonts w:ascii="Cambria" w:hAnsi="Cambria" w:cs="Cambria"/>
        </w:rPr>
        <w:instrText>ṣ</w:instrText>
      </w:r>
      <w:r w:rsidRPr="000D5261">
        <w:rPr>
          <w:rFonts w:ascii="Garamond" w:hAnsi="Garamond"/>
        </w:rPr>
        <w:instrText>haf asy-syar</w:instrText>
      </w:r>
      <w:r w:rsidRPr="000D5261">
        <w:rPr>
          <w:rFonts w:ascii="Garamond" w:hAnsi="Garamond" w:cs="Garamond"/>
        </w:rPr>
        <w:instrText>ī</w:instrText>
      </w:r>
      <w:r w:rsidRPr="000D5261">
        <w:rPr>
          <w:rFonts w:ascii="Garamond" w:hAnsi="Garamond"/>
        </w:rPr>
        <w:instrText>f, 2003), https://al-maktaba.org/book/7289.","previouslyFormattedCitation":"Ibn Taimiyah, &lt;i&gt;Majm</w:instrText>
      </w:r>
      <w:r w:rsidRPr="000D5261">
        <w:rPr>
          <w:rFonts w:ascii="Garamond" w:hAnsi="Garamond" w:cs="Garamond"/>
        </w:rPr>
        <w:instrText>ū’</w:instrText>
      </w:r>
      <w:r w:rsidRPr="000D5261">
        <w:rPr>
          <w:rFonts w:ascii="Garamond" w:hAnsi="Garamond"/>
        </w:rPr>
        <w:instrText xml:space="preserve"> Al-Fat</w:instrText>
      </w:r>
      <w:r w:rsidRPr="000D5261">
        <w:rPr>
          <w:rFonts w:ascii="Garamond" w:hAnsi="Garamond" w:cs="Garamond"/>
        </w:rPr>
        <w:instrText>ā</w:instrText>
      </w:r>
      <w:r w:rsidRPr="000D5261">
        <w:rPr>
          <w:rFonts w:ascii="Garamond" w:hAnsi="Garamond"/>
        </w:rPr>
        <w:instrText>w</w:instrText>
      </w:r>
      <w:r w:rsidRPr="000D5261">
        <w:rPr>
          <w:rFonts w:ascii="Garamond" w:hAnsi="Garamond" w:cs="Garamond"/>
        </w:rPr>
        <w:instrText>ā</w:instrText>
      </w:r>
      <w:r w:rsidRPr="000D5261">
        <w:rPr>
          <w:rFonts w:ascii="Garamond" w:hAnsi="Garamond"/>
        </w:rPr>
        <w:instrText>&lt;/i&gt; (Al-Madinah al-Munawwarah, Saudi Arabia: Majma</w:instrText>
      </w:r>
      <w:r w:rsidRPr="000D5261">
        <w:rPr>
          <w:rFonts w:ascii="Garamond" w:hAnsi="Garamond" w:cs="Garamond"/>
        </w:rPr>
        <w:instrText>’</w:instrText>
      </w:r>
      <w:r w:rsidRPr="000D5261">
        <w:rPr>
          <w:rFonts w:ascii="Garamond" w:hAnsi="Garamond"/>
        </w:rPr>
        <w:instrText xml:space="preserve"> al-Malik fahd li</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ā’</w:instrText>
      </w:r>
      <w:r w:rsidRPr="000D5261">
        <w:rPr>
          <w:rFonts w:ascii="Garamond" w:hAnsi="Garamond"/>
        </w:rPr>
        <w:instrText>ah al-mu</w:instrText>
      </w:r>
      <w:r w:rsidRPr="000D5261">
        <w:rPr>
          <w:rFonts w:ascii="Cambria" w:hAnsi="Cambria" w:cs="Cambria"/>
        </w:rPr>
        <w:instrText>ṣ</w:instrText>
      </w:r>
      <w:r w:rsidRPr="000D5261">
        <w:rPr>
          <w:rFonts w:ascii="Garamond" w:hAnsi="Garamond"/>
        </w:rPr>
        <w:instrText>haf asy-syar</w:instrText>
      </w:r>
      <w:r w:rsidRPr="000D5261">
        <w:rPr>
          <w:rFonts w:ascii="Garamond" w:hAnsi="Garamond" w:cs="Garamond"/>
        </w:rPr>
        <w:instrText>ī</w:instrText>
      </w:r>
      <w:r w:rsidRPr="000D5261">
        <w:rPr>
          <w:rFonts w:ascii="Garamond" w:hAnsi="Garamond"/>
        </w:rPr>
        <w:instrText>f, 2003), https://al-maktaba.org/book/7289."},"properties":{"noteIndex":0},"schema":"https://github.com/citation-style-language/schema/raw/master/csl-citation.json"}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Ibn Taimiyah, </w:t>
      </w:r>
      <w:r w:rsidRPr="000D5261">
        <w:rPr>
          <w:rFonts w:ascii="Garamond" w:hAnsi="Garamond"/>
          <w:i/>
          <w:noProof/>
        </w:rPr>
        <w:t>Majmū’ Al-Fatāwā</w:t>
      </w:r>
      <w:r w:rsidRPr="000D5261">
        <w:rPr>
          <w:rFonts w:ascii="Garamond" w:hAnsi="Garamond"/>
          <w:noProof/>
        </w:rPr>
        <w:t xml:space="preserve"> (Al-Madinah al-Munawwarah, Saudi Arabia: Majma’ al-Malik fahd li</w:t>
      </w:r>
      <w:r w:rsidRPr="000D5261">
        <w:rPr>
          <w:rFonts w:ascii="Cambria" w:hAnsi="Cambria" w:cs="Cambria"/>
          <w:noProof/>
        </w:rPr>
        <w:t>ṭ</w:t>
      </w:r>
      <w:r w:rsidRPr="000D5261">
        <w:rPr>
          <w:rFonts w:ascii="Garamond" w:hAnsi="Garamond"/>
          <w:noProof/>
        </w:rPr>
        <w:t>ib</w:t>
      </w:r>
      <w:r w:rsidRPr="000D5261">
        <w:rPr>
          <w:rFonts w:ascii="Garamond" w:hAnsi="Garamond" w:cs="Garamond"/>
          <w:noProof/>
        </w:rPr>
        <w:t>ā’</w:t>
      </w:r>
      <w:r w:rsidRPr="000D5261">
        <w:rPr>
          <w:rFonts w:ascii="Garamond" w:hAnsi="Garamond"/>
          <w:noProof/>
        </w:rPr>
        <w:t>ah al-mu</w:t>
      </w:r>
      <w:r w:rsidRPr="000D5261">
        <w:rPr>
          <w:rFonts w:ascii="Cambria" w:hAnsi="Cambria" w:cs="Cambria"/>
          <w:noProof/>
        </w:rPr>
        <w:t>ṣ</w:t>
      </w:r>
      <w:r w:rsidRPr="000D5261">
        <w:rPr>
          <w:rFonts w:ascii="Garamond" w:hAnsi="Garamond"/>
          <w:noProof/>
        </w:rPr>
        <w:t>haf asy-syarīf, 2003), https://al-maktaba.org/book/7289.</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1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{"citationItems":[{"id":"ITEM-1","itemData":{"author":[{"dropping-particle":"","family":"Ibnu Qudāmah","given":"","non-dropping-particle":"","parse-names":false,"suffix":""}],"id":"ITEM-1","issued":{"date-parts":[["0"]]},"number-of-pages":"537","publisher":"Al-Maktabah Al-Makkiyah","title":"Rau</w:instrText>
      </w:r>
      <w:r w:rsidRPr="000D5261">
        <w:rPr>
          <w:rFonts w:ascii="Cambria" w:hAnsi="Cambria" w:cs="Cambria"/>
        </w:rPr>
        <w:instrText>ḍ</w:instrText>
      </w:r>
      <w:r w:rsidRPr="000D5261">
        <w:rPr>
          <w:rFonts w:ascii="Garamond" w:hAnsi="Garamond"/>
        </w:rPr>
        <w:instrText>ah An-N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 Wa Jannah Al-man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ir","type":"book"},"uris":["http://www.mendeley.com/documents/?uuid=75f9a20a-387b-4a95-b379-24f81d643d85"]}],"mendeley":{"formattedCitation":"Ibnu Qudāmah, &lt;i&gt;Rau</w:instrText>
      </w:r>
      <w:r w:rsidRPr="000D5261">
        <w:rPr>
          <w:rFonts w:ascii="Cambria" w:hAnsi="Cambria" w:cs="Cambria"/>
        </w:rPr>
        <w:instrText>ḍ</w:instrText>
      </w:r>
      <w:r w:rsidRPr="000D5261">
        <w:rPr>
          <w:rFonts w:ascii="Garamond" w:hAnsi="Garamond"/>
        </w:rPr>
        <w:instrText>ah An-N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 Wa Jannah Al-Man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ir&lt;/i&gt; (Al-Maktabah Al-Makkiyah, n.d.).","plainTextFormattedCitation":"Ibnu Qud</w:instrText>
      </w:r>
      <w:r w:rsidRPr="000D5261">
        <w:rPr>
          <w:rFonts w:ascii="Garamond" w:hAnsi="Garamond" w:cs="Garamond"/>
        </w:rPr>
        <w:instrText>ā</w:instrText>
      </w:r>
      <w:r w:rsidRPr="000D5261">
        <w:rPr>
          <w:rFonts w:ascii="Garamond" w:hAnsi="Garamond"/>
        </w:rPr>
        <w:instrText>mah, Rau</w:instrText>
      </w:r>
      <w:r w:rsidRPr="000D5261">
        <w:rPr>
          <w:rFonts w:ascii="Cambria" w:hAnsi="Cambria" w:cs="Cambria"/>
        </w:rPr>
        <w:instrText>ḍ</w:instrText>
      </w:r>
      <w:r w:rsidRPr="000D5261">
        <w:rPr>
          <w:rFonts w:ascii="Garamond" w:hAnsi="Garamond"/>
        </w:rPr>
        <w:instrText>ah An-N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 Wa Jannah Al-Man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 (Al-Maktabah Al-Makkiyah, n.d.).","previouslyFormattedCitation":"Ibnu Qudāmah, &lt;i&gt;Rau</w:instrText>
      </w:r>
      <w:r w:rsidRPr="000D5261">
        <w:rPr>
          <w:rFonts w:ascii="Cambria" w:hAnsi="Cambria" w:cs="Cambria"/>
        </w:rPr>
        <w:instrText>ḍ</w:instrText>
      </w:r>
      <w:r w:rsidRPr="000D5261">
        <w:rPr>
          <w:rFonts w:ascii="Garamond" w:hAnsi="Garamond"/>
        </w:rPr>
        <w:instrText>ah An-N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 Wa Jannah Al-Man</w:instrText>
      </w:r>
      <w:r w:rsidRPr="000D5261">
        <w:rPr>
          <w:rFonts w:ascii="Garamond" w:hAnsi="Garamond" w:cs="Garamond"/>
        </w:rPr>
        <w:instrText>ā</w:instrText>
      </w:r>
      <w:r w:rsidRPr="000D5261">
        <w:rPr>
          <w:rFonts w:ascii="Cambria" w:hAnsi="Cambria" w:cs="Cambria"/>
        </w:rPr>
        <w:instrText>ẓ</w:instrText>
      </w:r>
      <w:r w:rsidRPr="000D5261">
        <w:rPr>
          <w:rFonts w:ascii="Garamond" w:hAnsi="Garamond"/>
        </w:rPr>
        <w:instrText>ir&lt;/i&gt; (Al-Maktabah Al-Makkiyah, n.d.)."},"properties":{"noteIndex":0},"schema":"https://github.com/citation-style-language/schema/raw/master/csl-citation.json"}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Ibnu Qudāmah, </w:t>
      </w:r>
      <w:r w:rsidRPr="000D5261">
        <w:rPr>
          <w:rFonts w:ascii="Garamond" w:hAnsi="Garamond"/>
          <w:i/>
          <w:noProof/>
        </w:rPr>
        <w:t>Rau</w:t>
      </w:r>
      <w:r w:rsidRPr="000D5261">
        <w:rPr>
          <w:rFonts w:ascii="Cambria" w:hAnsi="Cambria" w:cs="Cambria"/>
          <w:i/>
          <w:noProof/>
        </w:rPr>
        <w:t>ḍ</w:t>
      </w:r>
      <w:r w:rsidRPr="000D5261">
        <w:rPr>
          <w:rFonts w:ascii="Garamond" w:hAnsi="Garamond"/>
          <w:i/>
          <w:noProof/>
        </w:rPr>
        <w:t>ah An-N</w:t>
      </w:r>
      <w:r w:rsidRPr="000D5261">
        <w:rPr>
          <w:rFonts w:ascii="Garamond" w:hAnsi="Garamond" w:cs="Garamond"/>
          <w:i/>
          <w:noProof/>
        </w:rPr>
        <w:t>ā</w:t>
      </w:r>
      <w:r w:rsidRPr="000D5261">
        <w:rPr>
          <w:rFonts w:ascii="Cambria" w:hAnsi="Cambria" w:cs="Cambria"/>
          <w:i/>
          <w:noProof/>
        </w:rPr>
        <w:t>ẓ</w:t>
      </w:r>
      <w:r w:rsidRPr="000D5261">
        <w:rPr>
          <w:rFonts w:ascii="Garamond" w:hAnsi="Garamond"/>
          <w:i/>
          <w:noProof/>
        </w:rPr>
        <w:t>ir Wa Jannah Al-Manā</w:t>
      </w:r>
      <w:r w:rsidRPr="000D5261">
        <w:rPr>
          <w:rFonts w:ascii="Cambria" w:hAnsi="Cambria" w:cs="Cambria"/>
          <w:i/>
          <w:noProof/>
        </w:rPr>
        <w:t>ẓ</w:t>
      </w:r>
      <w:r w:rsidRPr="000D5261">
        <w:rPr>
          <w:rFonts w:ascii="Garamond" w:hAnsi="Garamond"/>
          <w:i/>
          <w:noProof/>
        </w:rPr>
        <w:t>ir</w:t>
      </w:r>
      <w:r w:rsidRPr="000D5261">
        <w:rPr>
          <w:rFonts w:ascii="Garamond" w:hAnsi="Garamond"/>
          <w:noProof/>
        </w:rPr>
        <w:t xml:space="preserve"> (Al-Maktabah Al-Makkiyah, n.d.).</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0">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{"citationItems":[{"id":"ITEM-1","itemData":{"author":[{"dropping-particle":"","family":"Al-Husain","given":"Walid","non-dropping-particle":"","parse-names":false,"suffix":""}],"id":"ITEM-1","issued":{"date-parts":[["2009"]]},"number-of-pages":"826","publisher":"Dār At-Tadammuriyah","publisher-place":"Mamlakah al-Arabiyah as-Su'ūdiyah","title":"I'tibār maālāt al-Af'āl wa a</w:instrText>
      </w:r>
      <w:r w:rsidRPr="000D5261">
        <w:rPr>
          <w:rFonts w:ascii="Cambria" w:hAnsi="Cambria" w:cs="Cambria"/>
        </w:rPr>
        <w:instrText>ṡ</w:instrText>
      </w:r>
      <w:r w:rsidRPr="000D5261">
        <w:rPr>
          <w:rFonts w:ascii="Garamond" w:hAnsi="Garamond"/>
        </w:rPr>
        <w:instrText>aruh</w:instrText>
      </w:r>
      <w:r w:rsidRPr="000D5261">
        <w:rPr>
          <w:rFonts w:ascii="Garamond" w:hAnsi="Garamond" w:cs="Garamond"/>
        </w:rPr>
        <w:instrText>ā</w:instrText>
      </w:r>
      <w:r w:rsidRPr="000D5261">
        <w:rPr>
          <w:rFonts w:ascii="Garamond" w:hAnsi="Garamond"/>
        </w:rPr>
        <w:instrText xml:space="preserve"> al-Fiqh</w:instrText>
      </w:r>
      <w:r w:rsidRPr="000D5261">
        <w:rPr>
          <w:rFonts w:ascii="Garamond" w:hAnsi="Garamond" w:cs="Garamond"/>
        </w:rPr>
        <w:instrText>ī</w:instrText>
      </w:r>
      <w:r w:rsidRPr="000D5261">
        <w:rPr>
          <w:rFonts w:ascii="Garamond" w:hAnsi="Garamond"/>
        </w:rPr>
        <w:instrText>","type":"book"},"uris":["http://www.mendeley.com/documents/?uuid=cd3bb065-fb28-4d98-9ad9-4a23da20d9e7"]}],"mendeley":{"formattedCitation":"Walid Al-Husain, &lt;i&gt;I’tibār Maālāt Al-Af’āl Wa A</w:instrText>
      </w:r>
      <w:r w:rsidRPr="000D5261">
        <w:rPr>
          <w:rFonts w:ascii="Cambria" w:hAnsi="Cambria" w:cs="Cambria"/>
        </w:rPr>
        <w:instrText>ṡ</w:instrText>
      </w:r>
      <w:r w:rsidRPr="000D5261">
        <w:rPr>
          <w:rFonts w:ascii="Garamond" w:hAnsi="Garamond"/>
        </w:rPr>
        <w:instrText>aruh</w:instrText>
      </w:r>
      <w:r w:rsidRPr="000D5261">
        <w:rPr>
          <w:rFonts w:ascii="Garamond" w:hAnsi="Garamond" w:cs="Garamond"/>
        </w:rPr>
        <w:instrText>ā</w:instrText>
      </w:r>
      <w:r w:rsidRPr="000D5261">
        <w:rPr>
          <w:rFonts w:ascii="Garamond" w:hAnsi="Garamond"/>
        </w:rPr>
        <w:instrText xml:space="preserve"> Al-Fiqh</w:instrText>
      </w:r>
      <w:r w:rsidRPr="000D5261">
        <w:rPr>
          <w:rFonts w:ascii="Garamond" w:hAnsi="Garamond" w:cs="Garamond"/>
        </w:rPr>
        <w:instrText>ī</w:instrText>
      </w:r>
      <w:r w:rsidRPr="000D5261">
        <w:rPr>
          <w:rFonts w:ascii="Garamond" w:hAnsi="Garamond"/>
        </w:rPr>
        <w:instrText>&lt;/i&gt; (Mamlakah al-Arabiyah as-Su</w:instrText>
      </w:r>
      <w:r w:rsidRPr="000D5261">
        <w:rPr>
          <w:rFonts w:ascii="Garamond" w:hAnsi="Garamond" w:cs="Garamond"/>
        </w:rPr>
        <w:instrText>’ū</w:instrText>
      </w:r>
      <w:r w:rsidRPr="000D5261">
        <w:rPr>
          <w:rFonts w:ascii="Garamond" w:hAnsi="Garamond"/>
        </w:rPr>
        <w:instrText>diyah: D</w:instrText>
      </w:r>
      <w:r w:rsidRPr="000D5261">
        <w:rPr>
          <w:rFonts w:ascii="Garamond" w:hAnsi="Garamond" w:cs="Garamond"/>
        </w:rPr>
        <w:instrText>ā</w:instrText>
      </w:r>
      <w:r w:rsidRPr="000D5261">
        <w:rPr>
          <w:rFonts w:ascii="Garamond" w:hAnsi="Garamond"/>
        </w:rPr>
        <w:instrText>r At-Tadammuriyah, 2009), https://www.noor-book.com/</w:instrText>
      </w:r>
      <w:r w:rsidRPr="000D5261">
        <w:rPr>
          <w:rFonts w:ascii="Garamond" w:hAnsi="Garamond"/>
          <w:rtl/>
        </w:rPr>
        <w:instrText>كتاب-اعتبار-مالات-الافعال-واثرها-الفقهي</w:instrText>
      </w:r>
      <w:r w:rsidRPr="000D5261">
        <w:rPr>
          <w:rFonts w:ascii="Garamond" w:hAnsi="Garamond"/>
        </w:rPr>
        <w:instrText>-pdf.","plainTextFormattedCitation":"Walid Al-Husain, I’tibār Maālāt Al-Af’āl Wa A</w:instrText>
      </w:r>
      <w:r w:rsidRPr="000D5261">
        <w:rPr>
          <w:rFonts w:ascii="Cambria" w:hAnsi="Cambria" w:cs="Cambria"/>
        </w:rPr>
        <w:instrText>ṡ</w:instrText>
      </w:r>
      <w:r w:rsidRPr="000D5261">
        <w:rPr>
          <w:rFonts w:ascii="Garamond" w:hAnsi="Garamond"/>
        </w:rPr>
        <w:instrText>aruh</w:instrText>
      </w:r>
      <w:r w:rsidRPr="000D5261">
        <w:rPr>
          <w:rFonts w:ascii="Garamond" w:hAnsi="Garamond" w:cs="Garamond"/>
        </w:rPr>
        <w:instrText>ā</w:instrText>
      </w:r>
      <w:r w:rsidRPr="000D5261">
        <w:rPr>
          <w:rFonts w:ascii="Garamond" w:hAnsi="Garamond"/>
        </w:rPr>
        <w:instrText xml:space="preserve"> Al-Fiqh</w:instrText>
      </w:r>
      <w:r w:rsidRPr="000D5261">
        <w:rPr>
          <w:rFonts w:ascii="Garamond" w:hAnsi="Garamond" w:cs="Garamond"/>
        </w:rPr>
        <w:instrText>ī</w:instrText>
      </w:r>
      <w:r w:rsidRPr="000D5261">
        <w:rPr>
          <w:rFonts w:ascii="Garamond" w:hAnsi="Garamond"/>
        </w:rPr>
        <w:instrText xml:space="preserve"> (Mamlakah al-Arabiyah as-Su</w:instrText>
      </w:r>
      <w:r w:rsidRPr="000D5261">
        <w:rPr>
          <w:rFonts w:ascii="Garamond" w:hAnsi="Garamond" w:cs="Garamond"/>
        </w:rPr>
        <w:instrText>’ū</w:instrText>
      </w:r>
      <w:r w:rsidRPr="000D5261">
        <w:rPr>
          <w:rFonts w:ascii="Garamond" w:hAnsi="Garamond"/>
        </w:rPr>
        <w:instrText>diyah: D</w:instrText>
      </w:r>
      <w:r w:rsidRPr="000D5261">
        <w:rPr>
          <w:rFonts w:ascii="Garamond" w:hAnsi="Garamond" w:cs="Garamond"/>
        </w:rPr>
        <w:instrText>ā</w:instrText>
      </w:r>
      <w:r w:rsidRPr="000D5261">
        <w:rPr>
          <w:rFonts w:ascii="Garamond" w:hAnsi="Garamond"/>
        </w:rPr>
        <w:instrText>r At-Tadammuriyah, 2009), https://www.noor-book.com/</w:instrText>
      </w:r>
      <w:r w:rsidRPr="000D5261">
        <w:rPr>
          <w:rFonts w:ascii="Garamond" w:hAnsi="Garamond"/>
          <w:rtl/>
        </w:rPr>
        <w:instrText>كتاب-اعتبار-مالات-الافعال-واثرها-الفقهي</w:instrText>
      </w:r>
      <w:r w:rsidRPr="000D5261">
        <w:rPr>
          <w:rFonts w:ascii="Garamond" w:hAnsi="Garamond"/>
        </w:rPr>
        <w:instrText>-pdf.","previouslyFormattedCitation":"Walid Al-Husain, &lt;i&gt;I’tibār Maālāt Al-Af’āl Wa A</w:instrText>
      </w:r>
      <w:r w:rsidRPr="000D5261">
        <w:rPr>
          <w:rFonts w:ascii="Cambria" w:hAnsi="Cambria" w:cs="Cambria"/>
        </w:rPr>
        <w:instrText>ṡ</w:instrText>
      </w:r>
      <w:r w:rsidRPr="000D5261">
        <w:rPr>
          <w:rFonts w:ascii="Garamond" w:hAnsi="Garamond"/>
        </w:rPr>
        <w:instrText>aruh</w:instrText>
      </w:r>
      <w:r w:rsidRPr="000D5261">
        <w:rPr>
          <w:rFonts w:ascii="Garamond" w:hAnsi="Garamond" w:cs="Garamond"/>
        </w:rPr>
        <w:instrText>ā</w:instrText>
      </w:r>
      <w:r w:rsidRPr="000D5261">
        <w:rPr>
          <w:rFonts w:ascii="Garamond" w:hAnsi="Garamond"/>
        </w:rPr>
        <w:instrText xml:space="preserve"> Al-Fiqh</w:instrText>
      </w:r>
      <w:r w:rsidRPr="000D5261">
        <w:rPr>
          <w:rFonts w:ascii="Garamond" w:hAnsi="Garamond" w:cs="Garamond"/>
        </w:rPr>
        <w:instrText>ī</w:instrText>
      </w:r>
      <w:r w:rsidRPr="000D5261">
        <w:rPr>
          <w:rFonts w:ascii="Garamond" w:hAnsi="Garamond"/>
        </w:rPr>
        <w:instrText>&lt;/i&gt; (Mamlakah al-Arabiyah as-Su</w:instrText>
      </w:r>
      <w:r w:rsidRPr="000D5261">
        <w:rPr>
          <w:rFonts w:ascii="Garamond" w:hAnsi="Garamond" w:cs="Garamond"/>
        </w:rPr>
        <w:instrText>’ū</w:instrText>
      </w:r>
      <w:r w:rsidRPr="000D5261">
        <w:rPr>
          <w:rFonts w:ascii="Garamond" w:hAnsi="Garamond"/>
        </w:rPr>
        <w:instrText>diyah: D</w:instrText>
      </w:r>
      <w:r w:rsidRPr="000D5261">
        <w:rPr>
          <w:rFonts w:ascii="Garamond" w:hAnsi="Garamond" w:cs="Garamond"/>
        </w:rPr>
        <w:instrText>ā</w:instrText>
      </w:r>
      <w:r w:rsidRPr="000D5261">
        <w:rPr>
          <w:rFonts w:ascii="Garamond" w:hAnsi="Garamond"/>
        </w:rPr>
        <w:instrText>r At-Tadammuriyah, 2009), https://www.noor-book.com/</w:instrText>
      </w:r>
      <w:r w:rsidRPr="000D5261">
        <w:rPr>
          <w:rFonts w:ascii="Garamond" w:hAnsi="Garamond"/>
          <w:rtl/>
        </w:rPr>
        <w:instrText>كتاب-اعتبار-مالات-الافعال-واثرها-الفقهي</w:instrText>
      </w:r>
      <w:r w:rsidRPr="000D5261">
        <w:rPr>
          <w:rFonts w:ascii="Garamond" w:hAnsi="Garamond"/>
        </w:rPr>
        <w:instrText>-pdf."},"properties":{"noteIndex":0},"schema":"https://github.com/citation-style-language/schema/raw/master/csl-citation.json"}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Walid Al-Husain, </w:t>
      </w:r>
      <w:r w:rsidRPr="000D5261">
        <w:rPr>
          <w:rFonts w:ascii="Garamond" w:hAnsi="Garamond"/>
          <w:i/>
          <w:noProof/>
        </w:rPr>
        <w:t>I’tibār Maālāt Al-Af’āl Wa A</w:t>
      </w:r>
      <w:r w:rsidRPr="000D5261">
        <w:rPr>
          <w:rFonts w:ascii="Cambria" w:hAnsi="Cambria" w:cs="Cambria"/>
          <w:i/>
          <w:noProof/>
        </w:rPr>
        <w:t>ṡ</w:t>
      </w:r>
      <w:r w:rsidRPr="000D5261">
        <w:rPr>
          <w:rFonts w:ascii="Garamond" w:hAnsi="Garamond"/>
          <w:i/>
          <w:noProof/>
        </w:rPr>
        <w:t>aruh</w:t>
      </w:r>
      <w:r w:rsidRPr="000D5261">
        <w:rPr>
          <w:rFonts w:ascii="Garamond" w:hAnsi="Garamond" w:cs="Garamond"/>
          <w:i/>
          <w:noProof/>
        </w:rPr>
        <w:t>ā</w:t>
      </w:r>
      <w:r w:rsidRPr="000D5261">
        <w:rPr>
          <w:rFonts w:ascii="Garamond" w:hAnsi="Garamond"/>
          <w:i/>
          <w:noProof/>
        </w:rPr>
        <w:t xml:space="preserve"> Al-Fiqh</w:t>
      </w:r>
      <w:r w:rsidRPr="000D5261">
        <w:rPr>
          <w:rFonts w:ascii="Garamond" w:hAnsi="Garamond" w:cs="Garamond"/>
          <w:i/>
          <w:noProof/>
        </w:rPr>
        <w:t>ī</w:t>
      </w:r>
      <w:r w:rsidRPr="000D5261">
        <w:rPr>
          <w:rFonts w:ascii="Garamond" w:hAnsi="Garamond"/>
          <w:noProof/>
        </w:rPr>
        <w:t xml:space="preserve"> (Mamlakah al-Arabiyah as-Su’ūdiyah: Dār At-Tadammuriyah, 2009), https://www.noor-book.com/</w:t>
      </w:r>
      <w:r w:rsidRPr="000D5261">
        <w:rPr>
          <w:rFonts w:ascii="Garamond" w:hAnsi="Garamond"/>
          <w:noProof/>
          <w:rtl/>
        </w:rPr>
        <w:t>كتاب-اعتبار-مالات-الافعال-واثرها-الفقهي</w:t>
      </w:r>
      <w:r w:rsidRPr="000D5261">
        <w:rPr>
          <w:rFonts w:ascii="Garamond" w:hAnsi="Garamond"/>
          <w:noProof/>
        </w:rPr>
        <w:t>-pdf.</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1">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lang w:val="en-US"/>
        </w:rPr>
        <w:fldChar w:fldCharType="begin" w:fldLock="1"/>
      </w:r>
      <w:r w:rsidRPr="000D5261">
        <w:rPr>
          <w:rFonts w:ascii="Garamond" w:hAnsi="Garamond"/>
          <w:lang w:val="en-US"/>
        </w:rPr>
        <w:instrText>ADDIN CSL_CITATION {"citationItems":[{"id":"ITEM-1","itemData":{"author":[{"dropping-particle":"","family":"Al-Bāhisīn","given":"Ya'qūb","non-dropping-particle":"","parse-names":false,"suffix":""}],"edition":"4","id":"ITEM-1","issued":{"date-parts":[["2011"]]},"number-of-pages":"266","publisher":"Maktabah Ar-Rusyd","publisher-place":"Ar-Riyā</w:instrText>
      </w:r>
      <w:r w:rsidRPr="000D5261">
        <w:rPr>
          <w:rFonts w:ascii="Cambria" w:hAnsi="Cambria" w:cs="Cambria"/>
          <w:lang w:val="en-US"/>
        </w:rPr>
        <w:instrText>ḍ</w:instrText>
      </w:r>
      <w:r w:rsidRPr="000D5261">
        <w:rPr>
          <w:rFonts w:ascii="Garamond" w:hAnsi="Garamond"/>
          <w:lang w:val="en-US"/>
        </w:rPr>
        <w:instrText>","title":"Raf'u al-Haraj f</w:instrText>
      </w:r>
      <w:r w:rsidRPr="000D5261">
        <w:rPr>
          <w:rFonts w:ascii="Garamond" w:hAnsi="Garamond" w:cs="Garamond"/>
          <w:lang w:val="en-US"/>
        </w:rPr>
        <w:instrText>ī</w:instrText>
      </w:r>
      <w:r w:rsidRPr="000D5261">
        <w:rPr>
          <w:rFonts w:ascii="Garamond" w:hAnsi="Garamond"/>
          <w:lang w:val="en-US"/>
        </w:rPr>
        <w:instrText>- asy-Syar</w:instrText>
      </w:r>
      <w:r w:rsidRPr="000D5261">
        <w:rPr>
          <w:rFonts w:ascii="Garamond" w:hAnsi="Garamond" w:cs="Garamond"/>
          <w:lang w:val="en-US"/>
        </w:rPr>
        <w:instrText>ī</w:instrText>
      </w:r>
      <w:r w:rsidRPr="000D5261">
        <w:rPr>
          <w:rFonts w:ascii="Garamond" w:hAnsi="Garamond"/>
          <w:lang w:val="en-US"/>
        </w:rPr>
        <w:instrText>'ah al-Isl</w:instrText>
      </w:r>
      <w:r w:rsidRPr="000D5261">
        <w:rPr>
          <w:rFonts w:ascii="Garamond" w:hAnsi="Garamond" w:cs="Garamond"/>
          <w:lang w:val="en-US"/>
        </w:rPr>
        <w:instrText>ā</w:instrText>
      </w:r>
      <w:r w:rsidRPr="000D5261">
        <w:rPr>
          <w:rFonts w:ascii="Garamond" w:hAnsi="Garamond"/>
          <w:lang w:val="en-US"/>
        </w:rPr>
        <w:instrText>miyah","type":"book"},"uris":["http://www.mendeley.com/documents/?uuid=55aa2f91-3be1-469e-a5b6-b30a08e3ba1c"]}],"mendeley":{"formattedCitation":"Ya’qūb Al-Bāhisīn, &lt;i&gt;Raf’u Al-Haraj Fī- Asy-Syarī’ah Al-Islāmiyah&lt;/i&gt;, 4th ed. (Ar-Riyā</w:instrText>
      </w:r>
      <w:r w:rsidRPr="000D5261">
        <w:rPr>
          <w:rFonts w:ascii="Cambria" w:hAnsi="Cambria" w:cs="Cambria"/>
          <w:lang w:val="en-US"/>
        </w:rPr>
        <w:instrText>ḍ</w:instrText>
      </w:r>
      <w:r w:rsidRPr="000D5261">
        <w:rPr>
          <w:rFonts w:ascii="Garamond" w:hAnsi="Garamond"/>
          <w:lang w:val="en-US"/>
        </w:rPr>
        <w:instrText>: Maktabah Ar-Rusyd, 2011), https://www.noor-book.com/</w:instrText>
      </w:r>
      <w:r w:rsidRPr="000D5261">
        <w:rPr>
          <w:rFonts w:ascii="Garamond" w:hAnsi="Garamond"/>
          <w:rtl/>
          <w:lang w:val="en-US"/>
        </w:rPr>
        <w:instrText>كتاب-رفع-الحرج-في-الشريعة-الإسلامية-دراسة-أصولية-تأصيلية-نسخة-مصورة</w:instrText>
      </w:r>
      <w:r w:rsidRPr="000D5261">
        <w:rPr>
          <w:rFonts w:ascii="Garamond" w:hAnsi="Garamond"/>
          <w:lang w:val="en-US"/>
        </w:rPr>
        <w:instrText>-pdf.","plainTextFormattedCitation":"Ya’qūb Al-Bāhisīn, Raf’u Al-Haraj Fī- Asy-Syarī’ah Al-Islāmiyah, 4th ed. (Ar-Riyā</w:instrText>
      </w:r>
      <w:r w:rsidRPr="000D5261">
        <w:rPr>
          <w:rFonts w:ascii="Cambria" w:hAnsi="Cambria" w:cs="Cambria"/>
          <w:lang w:val="en-US"/>
        </w:rPr>
        <w:instrText>ḍ</w:instrText>
      </w:r>
      <w:r w:rsidRPr="000D5261">
        <w:rPr>
          <w:rFonts w:ascii="Garamond" w:hAnsi="Garamond"/>
          <w:lang w:val="en-US"/>
        </w:rPr>
        <w:instrText>: Maktabah Ar-Rusyd, 2011), https://www.noor-book.com/</w:instrText>
      </w:r>
      <w:r w:rsidRPr="000D5261">
        <w:rPr>
          <w:rFonts w:ascii="Garamond" w:hAnsi="Garamond"/>
          <w:rtl/>
          <w:lang w:val="en-US"/>
        </w:rPr>
        <w:instrText>كتاب-رفع-الحرج-في-الشريعة-الإسلامية-دراسة-أصولية-تأصيلية-نسخة-مصورة</w:instrText>
      </w:r>
      <w:r w:rsidRPr="000D5261">
        <w:rPr>
          <w:rFonts w:ascii="Garamond" w:hAnsi="Garamond"/>
          <w:lang w:val="en-US"/>
        </w:rPr>
        <w:instrText>-pdf.","previouslyFormattedCitation":"Ya’qūb Al-Bāhisīn, &lt;i&gt;Raf’u Al-Haraj Fī- Asy-Syarī’ah Al-Islāmiyah&lt;/i&gt;, 4th ed. (Ar-Riyā</w:instrText>
      </w:r>
      <w:r w:rsidRPr="000D5261">
        <w:rPr>
          <w:rFonts w:ascii="Cambria" w:hAnsi="Cambria" w:cs="Cambria"/>
          <w:lang w:val="en-US"/>
        </w:rPr>
        <w:instrText>ḍ</w:instrText>
      </w:r>
      <w:r w:rsidRPr="000D5261">
        <w:rPr>
          <w:rFonts w:ascii="Garamond" w:hAnsi="Garamond"/>
          <w:lang w:val="en-US"/>
        </w:rPr>
        <w:instrText>: Maktabah Ar-Rusyd, 2011), https://www.noor-book.com/</w:instrText>
      </w:r>
      <w:r w:rsidRPr="000D5261">
        <w:rPr>
          <w:rFonts w:ascii="Garamond" w:hAnsi="Garamond"/>
          <w:rtl/>
          <w:lang w:val="en-US"/>
        </w:rPr>
        <w:instrText>كتاب-رفع-الحرج-في-الشريعة-الإسلامية-دراسة-أصولية-تأصيلية-نسخة-مصورة</w:instrText>
      </w:r>
      <w:r w:rsidRPr="000D5261">
        <w:rPr>
          <w:rFonts w:ascii="Garamond" w:hAnsi="Garamond"/>
          <w:lang w:val="en-US"/>
        </w:rPr>
        <w:instrText>-pdf."},"properties":{"noteIndex":0},"schema":"https://github.com/citation-style-language/schema/raw/master/csl-citation.json"}</w:instrText>
      </w:r>
      <w:r w:rsidRPr="000D5261">
        <w:rPr>
          <w:rFonts w:ascii="Garamond" w:hAnsi="Garamond"/>
          <w:lang w:val="en-US"/>
        </w:rPr>
        <w:fldChar w:fldCharType="separate"/>
      </w:r>
      <w:r w:rsidRPr="000D5261">
        <w:rPr>
          <w:rFonts w:ascii="Garamond" w:hAnsi="Garamond"/>
          <w:noProof/>
          <w:lang w:val="en-US"/>
        </w:rPr>
        <w:t xml:space="preserve">Ya’qūb Al-Bāhisīn, </w:t>
      </w:r>
      <w:r w:rsidRPr="000D5261">
        <w:rPr>
          <w:rFonts w:ascii="Garamond" w:hAnsi="Garamond"/>
          <w:i/>
          <w:noProof/>
          <w:lang w:val="en-US"/>
        </w:rPr>
        <w:t>Raf’u Al-Haraj Fī- Asy-Syarī’ah Al-Islāmiyah</w:t>
      </w:r>
      <w:r w:rsidRPr="000D5261">
        <w:rPr>
          <w:rFonts w:ascii="Garamond" w:hAnsi="Garamond"/>
          <w:noProof/>
          <w:lang w:val="en-US"/>
        </w:rPr>
        <w:t>, 4th ed. (Ar-Riyā</w:t>
      </w:r>
      <w:r w:rsidRPr="000D5261">
        <w:rPr>
          <w:rFonts w:ascii="Cambria" w:hAnsi="Cambria" w:cs="Cambria"/>
          <w:noProof/>
          <w:lang w:val="en-US"/>
        </w:rPr>
        <w:t>ḍ</w:t>
      </w:r>
      <w:r w:rsidRPr="000D5261">
        <w:rPr>
          <w:rFonts w:ascii="Garamond" w:hAnsi="Garamond"/>
          <w:noProof/>
          <w:lang w:val="en-US"/>
        </w:rPr>
        <w:t>: Maktabah Ar-Rusyd, 2011), https://www.noor-book.com/</w:t>
      </w:r>
      <w:r w:rsidRPr="000D5261">
        <w:rPr>
          <w:rFonts w:ascii="Garamond" w:hAnsi="Garamond"/>
          <w:noProof/>
          <w:rtl/>
          <w:lang w:val="en-US"/>
        </w:rPr>
        <w:t>كتاب-رفع-الحرج-في-الشريعة-الإسلامية-دراسة-أصولية-تأصيلية-نسخة-مصورة</w:t>
      </w:r>
      <w:r w:rsidRPr="000D5261">
        <w:rPr>
          <w:rFonts w:ascii="Garamond" w:hAnsi="Garamond"/>
          <w:noProof/>
          <w:lang w:val="en-US"/>
        </w:rPr>
        <w:t>-pdf.</w:t>
      </w:r>
      <w:r w:rsidRPr="000D5261">
        <w:rPr>
          <w:rFonts w:ascii="Garamond" w:hAnsi="Garamond"/>
          <w:lang w:val="en-US"/>
        </w:rPr>
        <w:fldChar w:fldCharType="end"/>
      </w:r>
    </w:p>
    <w:p w:rsidR="00B97014" w:rsidRPr="000D5261" w:rsidRDefault="00B97014" w:rsidP="004A1695">
      <w:pPr>
        <w:pStyle w:val="EndnoteText"/>
        <w:jc w:val="both"/>
        <w:rPr>
          <w:rFonts w:ascii="Garamond" w:hAnsi="Garamond"/>
          <w:lang w:val="en-US"/>
        </w:rPr>
      </w:pPr>
    </w:p>
  </w:endnote>
  <w:endnote w:id="2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{"citationItems":[{"id":"ITEM-1","itemData":{"author":[{"dropping-particle":"","family":"Al-Gazālī","given":"Al-Gazālī","non-dropping-particle":"","parse-names":false,"suffix":""}],"edition":"Jilid II","id":"ITEM-1","issued":{"date-parts":[["1413"]]},"number-of-pages":"175","publisher":"Dār Al-Kutub Al-'Ilmiyyah","publisher-place":"Beirut","title":"Al-Mus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","type":"book"},"uris":["http://www.mendeley.com/documents/?uuid=3a2f92a2-796b-40f8-8598-8a9d1f23e329"]}],"mendeley":{"formattedCitation":"Al-Gazālī,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&lt;/i&gt;.","plainTextFormattedCitation":"Al-Gaz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.","previouslyFormattedCitation":"Al-Gaz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Al-Gazālī, </w:t>
      </w:r>
      <w:r w:rsidRPr="000D5261">
        <w:rPr>
          <w:rFonts w:ascii="Garamond" w:hAnsi="Garamond"/>
          <w:i/>
          <w:noProof/>
        </w:rPr>
        <w:t>Al-Mus</w:t>
      </w:r>
      <w:r w:rsidRPr="000D5261">
        <w:rPr>
          <w:rFonts w:ascii="Cambria" w:hAnsi="Cambria" w:cs="Cambria"/>
          <w:i/>
          <w:noProof/>
        </w:rPr>
        <w:t>ṭ</w:t>
      </w:r>
      <w:r w:rsidRPr="000D5261">
        <w:rPr>
          <w:rFonts w:ascii="Garamond" w:hAnsi="Garamond"/>
          <w:i/>
          <w:noProof/>
        </w:rPr>
        <w:t>af</w:t>
      </w:r>
      <w:r w:rsidRPr="000D5261">
        <w:rPr>
          <w:rFonts w:ascii="Garamond" w:hAnsi="Garamond" w:cs="Garamond"/>
          <w:i/>
          <w:noProof/>
        </w:rPr>
        <w:t>ā</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3">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{"citationItems":[{"id":"ITEM-1","itemData":{"author":[{"dropping-particle":"","family":"Indonesia","given":"Kementrian Agama Republik","non-dropping-particle":"","parse-names":false,"suffix":""}],"id":"ITEM-1","issued":{"date-parts":[["2010"]]},"number-of-pages":"604","publisher":"Jabal Raudhah al-Jannah","publisher-place":"Bandung","title":"Al-Qur'an terjemah &amp; tafsir perkata","type":"book"},"uris":["http://www.mendeley.com/documents/?uuid=e27b37a3-cea3-432c-b5c1-5234e7dea8bb"]}],"mendeley":{"formattedCitation":"Kementrian Agama Republik Indonesia, &lt;i&gt;Al-Qur’an Terjemah &amp; Tafsir Perkata&lt;/i&gt; (Bandung: Jabal Raudhah al-Jannah, 2010), https://seamushaf.kemenag.go.id/telusuri/detail/576/al-quran-terjemah-dan-tafsir-per-katajabal13.","plainTextFormattedCitation":"Kementrian Agama Republik Indonesia, Al-Qur’an Terjemah &amp; Tafsir Perkata (Bandung: Jabal Raudhah al-Jannah, 2010), https://seamushaf.kemenag.go.id/telusuri/detail/576/al-quran-terjemah-dan-tafsir-per-katajabal13.","previouslyFormattedCitation":"Kementrian Agama Republik Indonesia, &lt;i&gt;Al-Qur’an Terjemah &amp; Tafsir Perkata&lt;/i&gt; (Bandung: Jabal Raudhah al-Jannah, 2010), https://seamushaf.kemenag.go.id/telusuri/detail/576/al-quran-terjemah-dan-tafsir-per-katajabal13."},"properties":{"noteIndex":0},"schema":"https://github.com/citation-style-language/schema/raw/master/csl-citation.json"}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Kementrian Agama Republik Indonesia, </w:t>
      </w:r>
      <w:r w:rsidRPr="000D5261">
        <w:rPr>
          <w:rFonts w:ascii="Garamond" w:hAnsi="Garamond"/>
          <w:i/>
          <w:noProof/>
        </w:rPr>
        <w:t>Al-Qur’an Terjemah &amp; Tafsir Perkata</w:t>
      </w:r>
      <w:r w:rsidRPr="000D5261">
        <w:rPr>
          <w:rFonts w:ascii="Garamond" w:hAnsi="Garamond"/>
          <w:noProof/>
        </w:rPr>
        <w:t xml:space="preserve"> (Bandung: Jabal Raudhah al-Jannah, 2010), https://seamushaf.kemenag.go.id/telusuri/detail/576/al-quran-terjemah-dan-tafsir-per-katajabal13.</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{"citationItems":[{"id":"ITEM-1","itemData":{"author":[{"dropping-particle":"","family":"Indonesia","given":"Kementrian Agama Republik","non-dropping-particle":"","parse-names":false,"suffix":""}],"id":"ITEM-1","issued":{"date-parts":[["2010"]]},"number-of-pages":"604","publisher":"Jabal Raudhah al-Jannah","publisher-place":"Bandung","title":"Al-Qur'an terjemah &amp; tafsir perkata","type":"book"},"uris":["http://www.mendeley.com/documents/?uuid=e27b37a3-cea3-432c-b5c1-5234e7dea8bb"]}],"mendeley":{"formattedCitation":"Ibid.","plainTextFormattedCitation":"Ibid.","previouslyFormattedCitation":"Ibid."},"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Ibid.</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5">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{"citationItems":[{"id":"ITEM-1","itemData":{"author":[{"dropping-particle":"","family":"Al-Gazālī","given":"Al-Gazālī","non-dropping-particle":"","parse-names":false,"suffix":""}],"edition":"Jilid II","id":"ITEM-1","issued":{"date-parts":[["1413"]]},"number-of-pages":"175","publisher":"Dār Al-Kutub Al-'Ilmiyyah","publisher-place":"Beirut","title":"Al-Mus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","type":"book"},"uris":["http://www.mendeley.com/documents/?uuid=3a2f92a2-796b-40f8-8598-8a9d1f23e329"]}],"mendeley":{"formattedCitation":"Al-Gaz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&lt;/i&gt;.","plainTextFormattedCitation":"Al-Gazālī, 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.","previouslyFormattedCitation":"Al-Gaz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Al-Gazālī, </w:t>
      </w:r>
      <w:r w:rsidRPr="000D5261">
        <w:rPr>
          <w:rFonts w:ascii="Garamond" w:hAnsi="Garamond"/>
          <w:i/>
          <w:noProof/>
        </w:rPr>
        <w:t>Al-Mus</w:t>
      </w:r>
      <w:r w:rsidRPr="000D5261">
        <w:rPr>
          <w:rFonts w:ascii="Cambria" w:hAnsi="Cambria" w:cs="Cambria"/>
          <w:i/>
          <w:noProof/>
        </w:rPr>
        <w:t>ṭ</w:t>
      </w:r>
      <w:r w:rsidRPr="000D5261">
        <w:rPr>
          <w:rFonts w:ascii="Garamond" w:hAnsi="Garamond"/>
          <w:i/>
          <w:noProof/>
        </w:rPr>
        <w:t>af</w:t>
      </w:r>
      <w:r w:rsidRPr="000D5261">
        <w:rPr>
          <w:rFonts w:ascii="Garamond" w:hAnsi="Garamond" w:cs="Garamond"/>
          <w:i/>
          <w:noProof/>
        </w:rPr>
        <w:t>ā</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6">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{"citationItems":[{"id":"ITEM-1","itemData":{"author":[{"dropping-particle":"","family":"Al-Būtī","given":"Muhammad Sa'īd Rama</w:instrText>
      </w:r>
      <w:r w:rsidRPr="000D5261">
        <w:rPr>
          <w:rFonts w:ascii="Cambria" w:hAnsi="Cambria" w:cs="Cambria"/>
        </w:rPr>
        <w:instrText>ḍ</w:instrText>
      </w:r>
      <w:r w:rsidRPr="000D5261">
        <w:rPr>
          <w:rFonts w:ascii="Garamond" w:hAnsi="Garamond"/>
        </w:rPr>
        <w:instrText>an","non-dropping-particle":"","parse-names":false,"suffix":""}],"id":"ITEM-1","issued":{"date-parts":[["1973"]]},"number-of-pages":"466","publisher":"Muassasah Ar-Risālah","publisher-place":"Damaskus","title":"</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miyah","type":"book"},"uris":["http://www.mendeley.com/documents/?uuid=2b6ead61-aee0-4a0b-83b4-07164ec77793"]}],"mendeley":{"formattedCitation":"Muhammad Sa’īd Rama</w:instrText>
      </w:r>
      <w:r w:rsidRPr="000D5261">
        <w:rPr>
          <w:rFonts w:ascii="Cambria" w:hAnsi="Cambria" w:cs="Cambria"/>
        </w:rPr>
        <w:instrText>ḍ</w:instrText>
      </w:r>
      <w:r w:rsidRPr="000D5261">
        <w:rPr>
          <w:rFonts w:ascii="Garamond" w:hAnsi="Garamond"/>
        </w:rPr>
        <w:instrText>an 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 (Damaskus: Muassasah Ar-Ris</w:instrText>
      </w:r>
      <w:r w:rsidRPr="000D5261">
        <w:rPr>
          <w:rFonts w:ascii="Garamond" w:hAnsi="Garamond" w:cs="Garamond"/>
        </w:rPr>
        <w:instrText>ā</w:instrText>
      </w:r>
      <w:r w:rsidRPr="000D5261">
        <w:rPr>
          <w:rFonts w:ascii="Garamond" w:hAnsi="Garamond"/>
        </w:rPr>
        <w:instrText>lah, 1973), https://www.noor-book.com/</w:instrText>
      </w:r>
      <w:r w:rsidRPr="000D5261">
        <w:rPr>
          <w:rFonts w:ascii="Garamond" w:hAnsi="Garamond"/>
          <w:rtl/>
        </w:rPr>
        <w:instrText>كتاب-ضوابط-المصلحة-في-الشريعة-الإسلامية</w:instrText>
      </w:r>
      <w:r w:rsidRPr="000D5261">
        <w:rPr>
          <w:rFonts w:ascii="Garamond" w:hAnsi="Garamond"/>
        </w:rPr>
        <w:instrText>-pdf.","plainTextFormattedCitation":"Muhammad Sa’īd Rama</w:instrText>
      </w:r>
      <w:r w:rsidRPr="000D5261">
        <w:rPr>
          <w:rFonts w:ascii="Cambria" w:hAnsi="Cambria" w:cs="Cambria"/>
        </w:rPr>
        <w:instrText>ḍ</w:instrText>
      </w:r>
      <w:r w:rsidRPr="000D5261">
        <w:rPr>
          <w:rFonts w:ascii="Garamond" w:hAnsi="Garamond"/>
        </w:rPr>
        <w:instrText>an 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xml:space="preserve">, </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 (Damaskus: Muassasah Ar-Ris</w:instrText>
      </w:r>
      <w:r w:rsidRPr="000D5261">
        <w:rPr>
          <w:rFonts w:ascii="Garamond" w:hAnsi="Garamond" w:cs="Garamond"/>
        </w:rPr>
        <w:instrText>ā</w:instrText>
      </w:r>
      <w:r w:rsidRPr="000D5261">
        <w:rPr>
          <w:rFonts w:ascii="Garamond" w:hAnsi="Garamond"/>
        </w:rPr>
        <w:instrText>lah, 1973), https://www.noor-book.com/</w:instrText>
      </w:r>
      <w:r w:rsidRPr="000D5261">
        <w:rPr>
          <w:rFonts w:ascii="Garamond" w:hAnsi="Garamond"/>
          <w:rtl/>
        </w:rPr>
        <w:instrText>كتاب-ضوابط-المصلحة-في-الشريعة-الإسلامية</w:instrText>
      </w:r>
      <w:r w:rsidRPr="000D5261">
        <w:rPr>
          <w:rFonts w:ascii="Garamond" w:hAnsi="Garamond"/>
        </w:rPr>
        <w:instrText>-pdf.","previouslyFormattedCitation":"Muhammad Sa’īd Rama</w:instrText>
      </w:r>
      <w:r w:rsidRPr="000D5261">
        <w:rPr>
          <w:rFonts w:ascii="Cambria" w:hAnsi="Cambria" w:cs="Cambria"/>
        </w:rPr>
        <w:instrText>ḍ</w:instrText>
      </w:r>
      <w:r w:rsidRPr="000D5261">
        <w:rPr>
          <w:rFonts w:ascii="Garamond" w:hAnsi="Garamond"/>
        </w:rPr>
        <w:instrText>an 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Asy-Syarī’ah Al-Islāmiyah&lt;/i&gt; (Damaskus: Muassasah Ar-Risālah, 1973), https://www.noor-book.com/</w:instrText>
      </w:r>
      <w:r w:rsidRPr="000D5261">
        <w:rPr>
          <w:rFonts w:ascii="Garamond" w:hAnsi="Garamond"/>
          <w:rtl/>
        </w:rPr>
        <w:instrText>كتاب-ضوابط-المصلحة-في-الشريعة-الإسلامية</w:instrText>
      </w:r>
      <w:r w:rsidRPr="000D5261">
        <w:rPr>
          <w:rFonts w:ascii="Garamond" w:hAnsi="Garamond"/>
        </w:rPr>
        <w:instrText>-pdf."},"properties":{"noteIndex":0},"schema":"https://github.com/citation-style-language/schema/raw/master/csl-citation.json"}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Muhammad Sa’īd Rama</w:t>
      </w:r>
      <w:r w:rsidRPr="000D5261">
        <w:rPr>
          <w:rFonts w:ascii="Cambria" w:hAnsi="Cambria" w:cs="Cambria"/>
          <w:noProof/>
        </w:rPr>
        <w:t>ḍ</w:t>
      </w:r>
      <w:r w:rsidRPr="000D5261">
        <w:rPr>
          <w:rFonts w:ascii="Garamond" w:hAnsi="Garamond"/>
          <w:noProof/>
        </w:rPr>
        <w:t>an Al-B</w:t>
      </w:r>
      <w:r w:rsidRPr="000D5261">
        <w:rPr>
          <w:rFonts w:ascii="Garamond" w:hAnsi="Garamond" w:cs="Garamond"/>
          <w:noProof/>
        </w:rPr>
        <w:t>ū</w:t>
      </w:r>
      <w:r w:rsidRPr="000D5261">
        <w:rPr>
          <w:rFonts w:ascii="Garamond" w:hAnsi="Garamond"/>
          <w:noProof/>
        </w:rPr>
        <w:t>t</w:t>
      </w:r>
      <w:r w:rsidRPr="000D5261">
        <w:rPr>
          <w:rFonts w:ascii="Garamond" w:hAnsi="Garamond" w:cs="Garamond"/>
          <w:noProof/>
        </w:rPr>
        <w:t>ī</w:t>
      </w:r>
      <w:r w:rsidRPr="000D5261">
        <w:rPr>
          <w:rFonts w:ascii="Garamond" w:hAnsi="Garamond"/>
          <w:noProof/>
        </w:rPr>
        <w:t xml:space="preserve">, </w:t>
      </w:r>
      <w:r w:rsidRPr="000D5261">
        <w:rPr>
          <w:rFonts w:ascii="Cambria" w:hAnsi="Cambria" w:cs="Cambria"/>
          <w:i/>
          <w:noProof/>
        </w:rPr>
        <w:t>Ḍ</w:t>
      </w:r>
      <w:r w:rsidRPr="000D5261">
        <w:rPr>
          <w:rFonts w:ascii="Garamond" w:hAnsi="Garamond"/>
          <w:i/>
          <w:noProof/>
        </w:rPr>
        <w:t>awabi</w:t>
      </w:r>
      <w:r w:rsidRPr="000D5261">
        <w:rPr>
          <w:rFonts w:ascii="Cambria" w:hAnsi="Cambria" w:cs="Cambria"/>
          <w:i/>
          <w:noProof/>
        </w:rPr>
        <w:t>ṭ</w:t>
      </w:r>
      <w:r w:rsidRPr="000D5261">
        <w:rPr>
          <w:rFonts w:ascii="Garamond" w:hAnsi="Garamond"/>
          <w:i/>
          <w:noProof/>
        </w:rPr>
        <w:t xml:space="preserve"> Al-Ma</w:t>
      </w:r>
      <w:r w:rsidRPr="000D5261">
        <w:rPr>
          <w:rFonts w:ascii="Cambria" w:hAnsi="Cambria" w:cs="Cambria"/>
          <w:i/>
          <w:noProof/>
        </w:rPr>
        <w:t>ṣ</w:t>
      </w:r>
      <w:r w:rsidRPr="000D5261">
        <w:rPr>
          <w:rFonts w:ascii="Garamond" w:hAnsi="Garamond"/>
          <w:i/>
          <w:noProof/>
        </w:rPr>
        <w:t>la</w:t>
      </w:r>
      <w:r w:rsidRPr="000D5261">
        <w:rPr>
          <w:rFonts w:ascii="Cambria" w:hAnsi="Cambria" w:cs="Cambria"/>
          <w:i/>
          <w:noProof/>
        </w:rPr>
        <w:t>ḥ</w:t>
      </w:r>
      <w:r w:rsidRPr="000D5261">
        <w:rPr>
          <w:rFonts w:ascii="Garamond" w:hAnsi="Garamond"/>
          <w:i/>
          <w:noProof/>
        </w:rPr>
        <w:t>ah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 xml:space="preserve"> (Damaskus: Muassasah Ar-Risālah, 1973), https://www.noor-book.com/</w:t>
      </w:r>
      <w:r w:rsidRPr="000D5261">
        <w:rPr>
          <w:rFonts w:ascii="Garamond" w:hAnsi="Garamond"/>
          <w:noProof/>
          <w:rtl/>
        </w:rPr>
        <w:t>كتاب-ضوابط-المصلحة-في-الشريعة-الإسلامية</w:t>
      </w:r>
      <w:r w:rsidRPr="000D5261">
        <w:rPr>
          <w:rFonts w:ascii="Garamond" w:hAnsi="Garamond"/>
          <w:noProof/>
        </w:rPr>
        <w:t>-pdf.</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7">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{"citationItems":[{"id":"ITEM-1","itemData":{"DOI":"10.31604/justitia.v1i04.%25p","abstract":"Permasalahan penelitian ini adalah, pertama, bagaimana kedudukan dan kehujjahan maslahah mursalah” dalam hukum Islam? Kedua, apakah “maslahah mursalah” ini dapat diterima oleh Ulama Usul Fiqh dalam menetapkan permasalahn dalam hukum Islam? Metode yang digunakan adalah studi kepustakaan. Data dianalisa dengan teknik induksi dan deduksi. Hasil diperoleh bahwa “maslahah” berkedudukan sebagai bagian dari syariat, yang tidak boleh dikesampingkan meskipun ia tidak disebut dalam nash secara tekstual secara substansial dihajatkan oleh manusia dalam membangun kehidupan mereka. Kemudian secara prinsipil ulama Fiqh dapat menerimanya, meskipun dengan persyaratan-persyaratan yang berbeda. Ada kelompok yang langsung dapat menerima, tetapi ada pula yang lebih hati-hati, sebab di khawatirkan, menjadikan “maslahah” sebagai metode penetapan hukum, hanya sekedar memenuhi kehendak hawa nafsu dan akal semata","author":[{"dropping-particle":"","family":"Pasaribu","given":"Muksana","non-dropping-particle":"","parse-names":false,"suffix":""}],"container-title":"JUSTITIA: Jurnal Ilmu Hukum dan Humaniora","id":"ITEM-1","issue":"4","issued":{"date-parts":[["2014"]]},"page":"11","title":"Maslahat dan perkembangannya sebagai dasar penetapan hukum Islam","type":"article-journal","volume":"1"},"uris":["http://www.mendeley.com/documents/?uuid=fef4f520-77fd-4a44-b2c7-0395cc17d6a0"]}],"mendeley":{"formattedCitation":"Muksana Pasaribu, “Maslahat Dan Perkembangannya Sebagai Dasar Penetapan Hukum Islam,” &lt;i&gt;JUSTITIA: Jurnal Ilmu Hukum Dan Humaniora&lt;/i&gt; 1, no. 4 (2014): 11, doi:10.31604/justitia.v1i04.%25p.","plainTextFormattedCitation":"Muksana Pasaribu, “Maslahat Dan Perkembangannya Sebagai Dasar Penetapan Hukum Islam,” JUSTITIA: Jurnal Ilmu Hukum Dan Humaniora 1, no. 4 (2014): 11, doi:10.31604/justitia.v1i04.%25p.","previouslyFormattedCitation":"Muksana Pasaribu, “Maslahat Dan Perkembangannya Sebagai Dasar Penetapan Hukum Islam,” &lt;i&gt;JUSTITIA: Jurnal Ilmu Hukum Dan Humaniora&lt;/i&gt; 1, no. 4 (2014): 11, doi:10.31604/justitia.v1i04.%25p."},"properties":{"noteIndex":0},"schema":"https://github.com/citation-style-language/schema/raw/master/csl-citation.json"}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Muksana Pasaribu, “Maslahat Dan Perkembangannya Sebagai Dasar Penetapan Hukum Islam,” </w:t>
      </w:r>
      <w:r w:rsidRPr="000D5261">
        <w:rPr>
          <w:rFonts w:ascii="Garamond" w:hAnsi="Garamond"/>
          <w:i/>
          <w:noProof/>
        </w:rPr>
        <w:t>JUSTITIA: Jurnal Ilmu Hukum Dan Humaniora</w:t>
      </w:r>
      <w:r w:rsidRPr="000D5261">
        <w:rPr>
          <w:rFonts w:ascii="Garamond" w:hAnsi="Garamond"/>
          <w:noProof/>
        </w:rPr>
        <w:t xml:space="preserve"> 1, no. 4 (2014): 11, doi:10.31604/justitia.v1i04.%25p.</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8">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t xml:space="preserve"> </w:t>
      </w:r>
      <w:r w:rsidRPr="000D5261">
        <w:rPr>
          <w:rFonts w:ascii="Garamond" w:hAnsi="Garamond"/>
        </w:rPr>
        <w:fldChar w:fldCharType="begin" w:fldLock="1"/>
      </w:r>
      <w:r w:rsidRPr="000D5261">
        <w:rPr>
          <w:rFonts w:ascii="Garamond" w:hAnsi="Garamond"/>
        </w:rPr>
        <w:instrText>ADDIN CSL_CITATION {"citationItems":[{"id":"ITEM-1","itemData":{"author":[{"dropping-particle":"","family":"Asysyanqī</w:instrText>
      </w:r>
      <w:r w:rsidRPr="000D5261">
        <w:rPr>
          <w:rFonts w:ascii="Cambria" w:hAnsi="Cambria" w:cs="Cambria"/>
        </w:rPr>
        <w:instrText>ṭ</w:instrText>
      </w:r>
      <w:r w:rsidRPr="000D5261">
        <w:rPr>
          <w:rFonts w:ascii="Garamond" w:hAnsi="Garamond" w:cs="Garamond"/>
        </w:rPr>
        <w:instrText>ī</w:instrText>
      </w:r>
      <w:r w:rsidRPr="000D5261">
        <w:rPr>
          <w:rFonts w:ascii="Garamond" w:hAnsi="Garamond"/>
        </w:rPr>
        <w:instrText>","given":"Muhammad Al-Am</w:instrText>
      </w:r>
      <w:r w:rsidRPr="000D5261">
        <w:rPr>
          <w:rFonts w:ascii="Garamond" w:hAnsi="Garamond" w:cs="Garamond"/>
        </w:rPr>
        <w:instrText>ī</w:instrText>
      </w:r>
      <w:r w:rsidRPr="000D5261">
        <w:rPr>
          <w:rFonts w:ascii="Garamond" w:hAnsi="Garamond"/>
        </w:rPr>
        <w:instrText>n","non-dropping-particle":"","parse-names":false,"suffix":""}],"id":"ITEM-1","issued":{"date-parts":[["1426"]]},"number-of-pages":"442","publisher":"Maktabah al-Ulūm wa al-Hukm","publisher-place":"Jaddah","title":"Mużakkirah fī u</w:instrText>
      </w:r>
      <w:r w:rsidRPr="000D5261">
        <w:rPr>
          <w:rFonts w:ascii="Cambria" w:hAnsi="Cambria" w:cs="Cambria"/>
        </w:rPr>
        <w:instrText>ṣ</w:instrText>
      </w:r>
      <w:r w:rsidRPr="000D5261">
        <w:rPr>
          <w:rFonts w:ascii="Garamond" w:hAnsi="Garamond" w:cs="Garamond"/>
        </w:rPr>
        <w:instrText>ū</w:instrText>
      </w:r>
      <w:r w:rsidRPr="000D5261">
        <w:rPr>
          <w:rFonts w:ascii="Garamond" w:hAnsi="Garamond"/>
        </w:rPr>
        <w:instrText>l al-Fiqh","type":"book"},"uris":["http://www.mendeley.com/documents/?uuid=da2d986c-750e-4fa0-88fc-e0c3fc136350"]}],"mendeley":{"formattedCitation":"Muhammad Al-Amīn Asysyanqī</w:instrText>
      </w:r>
      <w:r w:rsidRPr="000D5261">
        <w:rPr>
          <w:rFonts w:ascii="Cambria" w:hAnsi="Cambria" w:cs="Cambria"/>
        </w:rPr>
        <w:instrText>ṭ</w:instrText>
      </w:r>
      <w:r w:rsidRPr="000D5261">
        <w:rPr>
          <w:rFonts w:ascii="Garamond" w:hAnsi="Garamond" w:cs="Garamond"/>
        </w:rPr>
        <w:instrText>ī</w:instrText>
      </w:r>
      <w:r w:rsidRPr="000D5261">
        <w:rPr>
          <w:rFonts w:ascii="Garamond" w:hAnsi="Garamond"/>
        </w:rPr>
        <w:instrText>, &lt;i&gt;Mu</w:instrText>
      </w:r>
      <w:r w:rsidRPr="000D5261">
        <w:rPr>
          <w:rFonts w:ascii="Garamond" w:hAnsi="Garamond" w:cs="Garamond"/>
        </w:rPr>
        <w:instrText>ż</w:instrText>
      </w:r>
      <w:r w:rsidRPr="000D5261">
        <w:rPr>
          <w:rFonts w:ascii="Garamond" w:hAnsi="Garamond"/>
        </w:rPr>
        <w:instrText>akkirah F</w:instrText>
      </w:r>
      <w:r w:rsidRPr="000D5261">
        <w:rPr>
          <w:rFonts w:ascii="Garamond" w:hAnsi="Garamond" w:cs="Garamond"/>
        </w:rPr>
        <w:instrText>ī</w:instrText>
      </w:r>
      <w:r w:rsidRPr="000D5261">
        <w:rPr>
          <w:rFonts w:ascii="Garamond" w:hAnsi="Garamond"/>
        </w:rPr>
        <w:instrText xml:space="preserve"> U</w:instrText>
      </w:r>
      <w:r w:rsidRPr="000D5261">
        <w:rPr>
          <w:rFonts w:ascii="Cambria" w:hAnsi="Cambria" w:cs="Cambria"/>
        </w:rPr>
        <w:instrText>ṣ</w:instrText>
      </w:r>
      <w:r w:rsidRPr="000D5261">
        <w:rPr>
          <w:rFonts w:ascii="Garamond" w:hAnsi="Garamond" w:cs="Garamond"/>
        </w:rPr>
        <w:instrText>ū</w:instrText>
      </w:r>
      <w:r w:rsidRPr="000D5261">
        <w:rPr>
          <w:rFonts w:ascii="Garamond" w:hAnsi="Garamond"/>
        </w:rPr>
        <w:instrText>l Al-Fiqh&lt;/i&gt; (Jaddah: Maktabah al-Ul</w:instrText>
      </w:r>
      <w:r w:rsidRPr="000D5261">
        <w:rPr>
          <w:rFonts w:ascii="Garamond" w:hAnsi="Garamond" w:cs="Garamond"/>
        </w:rPr>
        <w:instrText>ū</w:instrText>
      </w:r>
      <w:r w:rsidRPr="000D5261">
        <w:rPr>
          <w:rFonts w:ascii="Garamond" w:hAnsi="Garamond"/>
        </w:rPr>
        <w:instrText>m wa al-Hukm, 1426), https://www.noor-book.com/</w:instrText>
      </w:r>
      <w:r w:rsidRPr="000D5261">
        <w:rPr>
          <w:rFonts w:ascii="Garamond" w:hAnsi="Garamond"/>
          <w:rtl/>
        </w:rPr>
        <w:instrText>كتاب-مذكرة-في-أصول-الفقه-ط-العلوم-والحكم</w:instrText>
      </w:r>
      <w:r w:rsidRPr="000D5261">
        <w:rPr>
          <w:rFonts w:ascii="Garamond" w:hAnsi="Garamond"/>
        </w:rPr>
        <w:instrText>-pdf.","plainTextFormattedCitation":"Muhammad Al-Amīn Asysyanqī</w:instrText>
      </w:r>
      <w:r w:rsidRPr="000D5261">
        <w:rPr>
          <w:rFonts w:ascii="Cambria" w:hAnsi="Cambria" w:cs="Cambria"/>
        </w:rPr>
        <w:instrText>ṭ</w:instrText>
      </w:r>
      <w:r w:rsidRPr="000D5261">
        <w:rPr>
          <w:rFonts w:ascii="Garamond" w:hAnsi="Garamond" w:cs="Garamond"/>
        </w:rPr>
        <w:instrText>ī</w:instrText>
      </w:r>
      <w:r w:rsidRPr="000D5261">
        <w:rPr>
          <w:rFonts w:ascii="Garamond" w:hAnsi="Garamond"/>
        </w:rPr>
        <w:instrText>, Mu</w:instrText>
      </w:r>
      <w:r w:rsidRPr="000D5261">
        <w:rPr>
          <w:rFonts w:ascii="Garamond" w:hAnsi="Garamond" w:cs="Garamond"/>
        </w:rPr>
        <w:instrText>ż</w:instrText>
      </w:r>
      <w:r w:rsidRPr="000D5261">
        <w:rPr>
          <w:rFonts w:ascii="Garamond" w:hAnsi="Garamond"/>
        </w:rPr>
        <w:instrText>akkirah F</w:instrText>
      </w:r>
      <w:r w:rsidRPr="000D5261">
        <w:rPr>
          <w:rFonts w:ascii="Garamond" w:hAnsi="Garamond" w:cs="Garamond"/>
        </w:rPr>
        <w:instrText>ī</w:instrText>
      </w:r>
      <w:r w:rsidRPr="000D5261">
        <w:rPr>
          <w:rFonts w:ascii="Garamond" w:hAnsi="Garamond"/>
        </w:rPr>
        <w:instrText xml:space="preserve"> U</w:instrText>
      </w:r>
      <w:r w:rsidRPr="000D5261">
        <w:rPr>
          <w:rFonts w:ascii="Cambria" w:hAnsi="Cambria" w:cs="Cambria"/>
        </w:rPr>
        <w:instrText>ṣ</w:instrText>
      </w:r>
      <w:r w:rsidRPr="000D5261">
        <w:rPr>
          <w:rFonts w:ascii="Garamond" w:hAnsi="Garamond" w:cs="Garamond"/>
        </w:rPr>
        <w:instrText>ū</w:instrText>
      </w:r>
      <w:r w:rsidRPr="000D5261">
        <w:rPr>
          <w:rFonts w:ascii="Garamond" w:hAnsi="Garamond"/>
        </w:rPr>
        <w:instrText>l Al-Fiqh (Jaddah: Maktabah al-Ul</w:instrText>
      </w:r>
      <w:r w:rsidRPr="000D5261">
        <w:rPr>
          <w:rFonts w:ascii="Garamond" w:hAnsi="Garamond" w:cs="Garamond"/>
        </w:rPr>
        <w:instrText>ū</w:instrText>
      </w:r>
      <w:r w:rsidRPr="000D5261">
        <w:rPr>
          <w:rFonts w:ascii="Garamond" w:hAnsi="Garamond"/>
        </w:rPr>
        <w:instrText>m wa al-Hukm, 1426), https://www.noor-book.com/</w:instrText>
      </w:r>
      <w:r w:rsidRPr="000D5261">
        <w:rPr>
          <w:rFonts w:ascii="Garamond" w:hAnsi="Garamond"/>
          <w:rtl/>
        </w:rPr>
        <w:instrText>كتاب-مذكرة-في-أصول-الفقه-ط-العلوم-والحكم</w:instrText>
      </w:r>
      <w:r w:rsidRPr="000D5261">
        <w:rPr>
          <w:rFonts w:ascii="Garamond" w:hAnsi="Garamond"/>
        </w:rPr>
        <w:instrText>-pdf.","previouslyFormattedCitation":"Muhammad Al-Amīn Asysyanqī</w:instrText>
      </w:r>
      <w:r w:rsidRPr="000D5261">
        <w:rPr>
          <w:rFonts w:ascii="Cambria" w:hAnsi="Cambria" w:cs="Cambria"/>
        </w:rPr>
        <w:instrText>ṭ</w:instrText>
      </w:r>
      <w:r w:rsidRPr="000D5261">
        <w:rPr>
          <w:rFonts w:ascii="Garamond" w:hAnsi="Garamond" w:cs="Garamond"/>
        </w:rPr>
        <w:instrText>ī</w:instrText>
      </w:r>
      <w:r w:rsidRPr="000D5261">
        <w:rPr>
          <w:rFonts w:ascii="Garamond" w:hAnsi="Garamond"/>
        </w:rPr>
        <w:instrText>, &lt;i&gt;Mu</w:instrText>
      </w:r>
      <w:r w:rsidRPr="000D5261">
        <w:rPr>
          <w:rFonts w:ascii="Garamond" w:hAnsi="Garamond" w:cs="Garamond"/>
        </w:rPr>
        <w:instrText>ż</w:instrText>
      </w:r>
      <w:r w:rsidRPr="000D5261">
        <w:rPr>
          <w:rFonts w:ascii="Garamond" w:hAnsi="Garamond"/>
        </w:rPr>
        <w:instrText>akkirah F</w:instrText>
      </w:r>
      <w:r w:rsidRPr="000D5261">
        <w:rPr>
          <w:rFonts w:ascii="Garamond" w:hAnsi="Garamond" w:cs="Garamond"/>
        </w:rPr>
        <w:instrText>ī</w:instrText>
      </w:r>
      <w:r w:rsidRPr="000D5261">
        <w:rPr>
          <w:rFonts w:ascii="Garamond" w:hAnsi="Garamond"/>
        </w:rPr>
        <w:instrText xml:space="preserve"> U</w:instrText>
      </w:r>
      <w:r w:rsidRPr="000D5261">
        <w:rPr>
          <w:rFonts w:ascii="Cambria" w:hAnsi="Cambria" w:cs="Cambria"/>
        </w:rPr>
        <w:instrText>ṣ</w:instrText>
      </w:r>
      <w:r w:rsidRPr="000D5261">
        <w:rPr>
          <w:rFonts w:ascii="Garamond" w:hAnsi="Garamond" w:cs="Garamond"/>
        </w:rPr>
        <w:instrText>ū</w:instrText>
      </w:r>
      <w:r w:rsidRPr="000D5261">
        <w:rPr>
          <w:rFonts w:ascii="Garamond" w:hAnsi="Garamond"/>
        </w:rPr>
        <w:instrText>l Al-Fiqh&lt;/i&gt; (Jaddah: Maktabah al-Ul</w:instrText>
      </w:r>
      <w:r w:rsidRPr="000D5261">
        <w:rPr>
          <w:rFonts w:ascii="Garamond" w:hAnsi="Garamond" w:cs="Garamond"/>
        </w:rPr>
        <w:instrText>ū</w:instrText>
      </w:r>
      <w:r w:rsidRPr="000D5261">
        <w:rPr>
          <w:rFonts w:ascii="Garamond" w:hAnsi="Garamond"/>
        </w:rPr>
        <w:instrText>m wa al-Hukm, 1426), https://www.noor-book.com/</w:instrText>
      </w:r>
      <w:r w:rsidRPr="000D5261">
        <w:rPr>
          <w:rFonts w:ascii="Garamond" w:hAnsi="Garamond"/>
          <w:rtl/>
        </w:rPr>
        <w:instrText>كتاب-مذكرة-في-أصول-الفقه-ط-العلوم-والحكم</w:instrText>
      </w:r>
      <w:r w:rsidRPr="000D5261">
        <w:rPr>
          <w:rFonts w:ascii="Garamond" w:hAnsi="Garamond"/>
        </w:rPr>
        <w:instrText>-pdf."},"properties":{"noteIndex":0},"schema":"https://github.com/citation-style-language/schema/raw/master/csl-citation.json"}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Muhammad Al-Amīn Asysyanqī</w:t>
      </w:r>
      <w:r w:rsidRPr="000D5261">
        <w:rPr>
          <w:rFonts w:ascii="Cambria" w:hAnsi="Cambria" w:cs="Cambria"/>
          <w:noProof/>
        </w:rPr>
        <w:t>ṭ</w:t>
      </w:r>
      <w:r w:rsidRPr="000D5261">
        <w:rPr>
          <w:rFonts w:ascii="Garamond" w:hAnsi="Garamond" w:cs="Garamond"/>
          <w:noProof/>
        </w:rPr>
        <w:t>ī</w:t>
      </w:r>
      <w:r w:rsidRPr="000D5261">
        <w:rPr>
          <w:rFonts w:ascii="Garamond" w:hAnsi="Garamond"/>
          <w:noProof/>
        </w:rPr>
        <w:t xml:space="preserve">, </w:t>
      </w:r>
      <w:r w:rsidRPr="000D5261">
        <w:rPr>
          <w:rFonts w:ascii="Garamond" w:hAnsi="Garamond"/>
          <w:i/>
          <w:noProof/>
        </w:rPr>
        <w:t>Mużakkirah Fī U</w:t>
      </w:r>
      <w:r w:rsidRPr="000D5261">
        <w:rPr>
          <w:rFonts w:ascii="Cambria" w:hAnsi="Cambria" w:cs="Cambria"/>
          <w:i/>
          <w:noProof/>
        </w:rPr>
        <w:t>ṣ</w:t>
      </w:r>
      <w:r w:rsidRPr="000D5261">
        <w:rPr>
          <w:rFonts w:ascii="Garamond" w:hAnsi="Garamond" w:cs="Garamond"/>
          <w:i/>
          <w:noProof/>
        </w:rPr>
        <w:t>ū</w:t>
      </w:r>
      <w:r w:rsidRPr="000D5261">
        <w:rPr>
          <w:rFonts w:ascii="Garamond" w:hAnsi="Garamond"/>
          <w:i/>
          <w:noProof/>
        </w:rPr>
        <w:t>l Al-Fiqh</w:t>
      </w:r>
      <w:r w:rsidRPr="000D5261">
        <w:rPr>
          <w:rFonts w:ascii="Garamond" w:hAnsi="Garamond"/>
          <w:noProof/>
        </w:rPr>
        <w:t xml:space="preserve"> (Jaddah: Maktabah al-Ulūm wa al-Hukm, 1426), https://www.noor-book.com/</w:t>
      </w:r>
      <w:r w:rsidRPr="000D5261">
        <w:rPr>
          <w:rFonts w:ascii="Garamond" w:hAnsi="Garamond"/>
          <w:noProof/>
          <w:rtl/>
        </w:rPr>
        <w:t>كتاب-مذكرة-في-أصول-الفقه-ط-العلوم-والحكم</w:t>
      </w:r>
      <w:r w:rsidRPr="000D5261">
        <w:rPr>
          <w:rFonts w:ascii="Garamond" w:hAnsi="Garamond"/>
          <w:noProof/>
        </w:rPr>
        <w:t>-pdf.</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2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{"citationItems":[{"id":"ITEM-1","itemData":{"author":[{"dropping-particle":"","family":"Al-Būtī","given":"Muhammad Sa'īd Rama</w:instrText>
      </w:r>
      <w:r w:rsidRPr="000D5261">
        <w:rPr>
          <w:rFonts w:ascii="Cambria" w:hAnsi="Cambria" w:cs="Cambria"/>
        </w:rPr>
        <w:instrText>ḍ</w:instrText>
      </w:r>
      <w:r w:rsidRPr="000D5261">
        <w:rPr>
          <w:rFonts w:ascii="Garamond" w:hAnsi="Garamond"/>
        </w:rPr>
        <w:instrText>an","non-dropping-particle":"","parse-names":false,"suffix":""}],"id":"ITEM-1","issued":{"date-parts":[["1973"]]},"number-of-pages":"466","publisher":"Muassasah Ar-Risālah","publisher-place":"Damaskus","title":"</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miyah","type":"book"},"uris":["http://www.mendeley.com/documents/?uuid=2b6ead61-aee0-4a0b-83b4-07164ec77793"]}],"mendeley":{"formattedCitation":"Al-Būtī,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miyah&lt;/i&gt;.","plainTextFormattedCitation":"Al-B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xml:space="preserve">, </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miyah.","previouslyFormattedCitation":"Al-B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Al-Būtī, </w:t>
      </w:r>
      <w:r w:rsidRPr="000D5261">
        <w:rPr>
          <w:rFonts w:ascii="Cambria" w:hAnsi="Cambria" w:cs="Cambria"/>
          <w:i/>
          <w:noProof/>
        </w:rPr>
        <w:t>Ḍ</w:t>
      </w:r>
      <w:r w:rsidRPr="000D5261">
        <w:rPr>
          <w:rFonts w:ascii="Garamond" w:hAnsi="Garamond"/>
          <w:i/>
          <w:noProof/>
        </w:rPr>
        <w:t>awabi</w:t>
      </w:r>
      <w:r w:rsidRPr="000D5261">
        <w:rPr>
          <w:rFonts w:ascii="Cambria" w:hAnsi="Cambria" w:cs="Cambria"/>
          <w:i/>
          <w:noProof/>
        </w:rPr>
        <w:t>ṭ</w:t>
      </w:r>
      <w:r w:rsidRPr="000D5261">
        <w:rPr>
          <w:rFonts w:ascii="Garamond" w:hAnsi="Garamond"/>
          <w:i/>
          <w:noProof/>
        </w:rPr>
        <w:t xml:space="preserve"> Al-Ma</w:t>
      </w:r>
      <w:r w:rsidRPr="000D5261">
        <w:rPr>
          <w:rFonts w:ascii="Cambria" w:hAnsi="Cambria" w:cs="Cambria"/>
          <w:i/>
          <w:noProof/>
        </w:rPr>
        <w:t>ṣ</w:t>
      </w:r>
      <w:r w:rsidRPr="000D5261">
        <w:rPr>
          <w:rFonts w:ascii="Garamond" w:hAnsi="Garamond"/>
          <w:i/>
          <w:noProof/>
        </w:rPr>
        <w:t>la</w:t>
      </w:r>
      <w:r w:rsidRPr="000D5261">
        <w:rPr>
          <w:rFonts w:ascii="Cambria" w:hAnsi="Cambria" w:cs="Cambria"/>
          <w:i/>
          <w:noProof/>
        </w:rPr>
        <w:t>ḥ</w:t>
      </w:r>
      <w:r w:rsidRPr="000D5261">
        <w:rPr>
          <w:rFonts w:ascii="Garamond" w:hAnsi="Garamond"/>
          <w:i/>
          <w:noProof/>
        </w:rPr>
        <w:t>ah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0">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","given":"Ibr</w:instrText>
      </w:r>
      <w:r w:rsidRPr="000D5261">
        <w:rPr>
          <w:rFonts w:ascii="Garamond" w:hAnsi="Garamond" w:cs="Garamond"/>
        </w:rPr>
        <w:instrText>ā</w:instrText>
      </w:r>
      <w:r w:rsidRPr="000D5261">
        <w:rPr>
          <w:rFonts w:ascii="Garamond" w:hAnsi="Garamond"/>
        </w:rPr>
        <w:instrText>h</w:instrText>
      </w:r>
      <w:r w:rsidRPr="000D5261">
        <w:rPr>
          <w:rFonts w:ascii="Garamond" w:hAnsi="Garamond" w:cs="Garamond"/>
        </w:rPr>
        <w:instrText>ī</w:instrText>
      </w:r>
      <w:r w:rsidRPr="000D5261">
        <w:rPr>
          <w:rFonts w:ascii="Garamond" w:hAnsi="Garamond"/>
        </w:rPr>
        <w:instrText>m bin M</w:instrText>
      </w:r>
      <w:r w:rsidRPr="000D5261">
        <w:rPr>
          <w:rFonts w:ascii="Garamond" w:hAnsi="Garamond" w:cs="Garamond"/>
        </w:rPr>
        <w:instrText>ū</w:instrText>
      </w:r>
      <w:r w:rsidRPr="000D5261">
        <w:rPr>
          <w:rFonts w:ascii="Garamond" w:hAnsi="Garamond"/>
        </w:rPr>
        <w:instrText>s</w:instrText>
      </w:r>
      <w:r w:rsidRPr="000D5261">
        <w:rPr>
          <w:rFonts w:ascii="Garamond" w:hAnsi="Garamond" w:cs="Garamond"/>
        </w:rPr>
        <w:instrText>ā</w:instrText>
      </w:r>
      <w:r w:rsidRPr="000D5261">
        <w:rPr>
          <w:rFonts w:ascii="Garamond" w:hAnsi="Garamond"/>
        </w:rPr>
        <w:instrText>","non-dropping-particle":"","parse-names":false,"suffix":""}],"edition":"Jilid II","id":"ITEM-1","issued":{"date-parts":[["1996"]]},"number-of-pages":"3377","publisher":"D</w:instrText>
      </w:r>
      <w:r w:rsidRPr="000D5261">
        <w:rPr>
          <w:rFonts w:ascii="Garamond" w:hAnsi="Garamond" w:cs="Garamond"/>
        </w:rPr>
        <w:instrText>ā</w:instrText>
      </w:r>
      <w:r w:rsidRPr="000D5261">
        <w:rPr>
          <w:rFonts w:ascii="Garamond" w:hAnsi="Garamond"/>
        </w:rPr>
        <w:instrText>r al-Ma'rifah","title":"Al-Muwāfaqāt","type":"book"},"uris":["http://www.mendeley.com/documents/?uuid=81979193-eef6-4e64-85cf-e977b70f8876"]}],"mendeley":{"formattedCitation":"Ibrāhīm bin Mūsā 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 Jilid II (D</w:instrText>
      </w:r>
      <w:r w:rsidRPr="000D5261">
        <w:rPr>
          <w:rFonts w:ascii="Garamond" w:hAnsi="Garamond" w:cs="Garamond"/>
        </w:rPr>
        <w:instrText>ā</w:instrText>
      </w:r>
      <w:r w:rsidRPr="000D5261">
        <w:rPr>
          <w:rFonts w:ascii="Garamond" w:hAnsi="Garamond"/>
        </w:rPr>
        <w:instrText>r al-Ma</w:instrText>
      </w:r>
      <w:r w:rsidRPr="000D5261">
        <w:rPr>
          <w:rFonts w:ascii="Garamond" w:hAnsi="Garamond" w:cs="Garamond"/>
        </w:rPr>
        <w:instrText>’</w:instrText>
      </w:r>
      <w:r w:rsidRPr="000D5261">
        <w:rPr>
          <w:rFonts w:ascii="Garamond" w:hAnsi="Garamond"/>
        </w:rPr>
        <w:instrText>rifah, 1996), https://www.noor-book.com/</w:instrText>
      </w:r>
      <w:r w:rsidRPr="000D5261">
        <w:rPr>
          <w:rFonts w:ascii="Garamond" w:hAnsi="Garamond"/>
          <w:rtl/>
        </w:rPr>
        <w:instrText>كتاب-الموافقات-ت-مشهور</w:instrText>
      </w:r>
      <w:r w:rsidRPr="000D5261">
        <w:rPr>
          <w:rFonts w:ascii="Garamond" w:hAnsi="Garamond"/>
        </w:rPr>
        <w:instrText>-pdf.","plainTextFormattedCitation":"Ibrāhīm bin Mūsā 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 Jilid II (D</w:instrText>
      </w:r>
      <w:r w:rsidRPr="000D5261">
        <w:rPr>
          <w:rFonts w:ascii="Garamond" w:hAnsi="Garamond" w:cs="Garamond"/>
        </w:rPr>
        <w:instrText>ā</w:instrText>
      </w:r>
      <w:r w:rsidRPr="000D5261">
        <w:rPr>
          <w:rFonts w:ascii="Garamond" w:hAnsi="Garamond"/>
        </w:rPr>
        <w:instrText>r al-Ma</w:instrText>
      </w:r>
      <w:r w:rsidRPr="000D5261">
        <w:rPr>
          <w:rFonts w:ascii="Garamond" w:hAnsi="Garamond" w:cs="Garamond"/>
        </w:rPr>
        <w:instrText>’</w:instrText>
      </w:r>
      <w:r w:rsidRPr="000D5261">
        <w:rPr>
          <w:rFonts w:ascii="Garamond" w:hAnsi="Garamond"/>
        </w:rPr>
        <w:instrText>rifah, 1996), https://www.noor-book.com/</w:instrText>
      </w:r>
      <w:r w:rsidRPr="000D5261">
        <w:rPr>
          <w:rFonts w:ascii="Garamond" w:hAnsi="Garamond"/>
          <w:rtl/>
        </w:rPr>
        <w:instrText>كتاب-الموافقات-ت-مشهور</w:instrText>
      </w:r>
      <w:r w:rsidRPr="000D5261">
        <w:rPr>
          <w:rFonts w:ascii="Garamond" w:hAnsi="Garamond"/>
        </w:rPr>
        <w:instrText>-pdf.","previouslyFormattedCitation":"Ibrāhīm bin Mūsā 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 Jilid II (D</w:instrText>
      </w:r>
      <w:r w:rsidRPr="000D5261">
        <w:rPr>
          <w:rFonts w:ascii="Garamond" w:hAnsi="Garamond" w:cs="Garamond"/>
        </w:rPr>
        <w:instrText>ā</w:instrText>
      </w:r>
      <w:r w:rsidRPr="000D5261">
        <w:rPr>
          <w:rFonts w:ascii="Garamond" w:hAnsi="Garamond"/>
        </w:rPr>
        <w:instrText>r al-Ma</w:instrText>
      </w:r>
      <w:r w:rsidRPr="000D5261">
        <w:rPr>
          <w:rFonts w:ascii="Garamond" w:hAnsi="Garamond" w:cs="Garamond"/>
        </w:rPr>
        <w:instrText>’</w:instrText>
      </w:r>
      <w:r w:rsidRPr="000D5261">
        <w:rPr>
          <w:rFonts w:ascii="Garamond" w:hAnsi="Garamond"/>
        </w:rPr>
        <w:instrText>rifah, 1996), https://www.noor-book.com/</w:instrText>
      </w:r>
      <w:r w:rsidRPr="000D5261">
        <w:rPr>
          <w:rFonts w:ascii="Garamond" w:hAnsi="Garamond"/>
          <w:rtl/>
        </w:rPr>
        <w:instrText>كتاب-الموافقات-ت-مشهور</w:instrText>
      </w:r>
      <w:r w:rsidRPr="000D5261">
        <w:rPr>
          <w:rFonts w:ascii="Garamond" w:hAnsi="Garamond"/>
        </w:rPr>
        <w:instrText>-pdf."},"properties":{"noteIndex":0},"schema":"https://github.com/citation-style-language/schema/raw/master/csl-citation.json"}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Ibrāhīm bin Mūsā Asy-Syā</w:t>
      </w:r>
      <w:r w:rsidRPr="000D5261">
        <w:rPr>
          <w:rFonts w:ascii="Cambria" w:hAnsi="Cambria" w:cs="Cambria"/>
          <w:noProof/>
        </w:rPr>
        <w:t>ṭ</w:t>
      </w:r>
      <w:r w:rsidRPr="000D5261">
        <w:rPr>
          <w:rFonts w:ascii="Garamond" w:hAnsi="Garamond"/>
          <w:noProof/>
        </w:rPr>
        <w:t>ib</w:t>
      </w:r>
      <w:r w:rsidRPr="000D5261">
        <w:rPr>
          <w:rFonts w:ascii="Garamond" w:hAnsi="Garamond" w:cs="Garamond"/>
          <w:noProof/>
        </w:rPr>
        <w:t>ī</w:t>
      </w:r>
      <w:r w:rsidRPr="000D5261">
        <w:rPr>
          <w:rFonts w:ascii="Garamond" w:hAnsi="Garamond"/>
          <w:noProof/>
        </w:rPr>
        <w:t xml:space="preserve">, </w:t>
      </w:r>
      <w:r w:rsidRPr="000D5261">
        <w:rPr>
          <w:rFonts w:ascii="Garamond" w:hAnsi="Garamond"/>
          <w:i/>
          <w:noProof/>
        </w:rPr>
        <w:t>Al-Muwāfaqāt</w:t>
      </w:r>
      <w:r w:rsidRPr="000D5261">
        <w:rPr>
          <w:rFonts w:ascii="Garamond" w:hAnsi="Garamond"/>
          <w:noProof/>
        </w:rPr>
        <w:t>, Jilid II (Dār al-Ma’rifah, 1996), https://www.noor-book.com/</w:t>
      </w:r>
      <w:r w:rsidRPr="000D5261">
        <w:rPr>
          <w:rFonts w:ascii="Garamond" w:hAnsi="Garamond"/>
          <w:noProof/>
          <w:rtl/>
        </w:rPr>
        <w:t>كتاب-الموافقات-ت-مشهور</w:t>
      </w:r>
      <w:r w:rsidRPr="000D5261">
        <w:rPr>
          <w:rFonts w:ascii="Garamond" w:hAnsi="Garamond"/>
          <w:noProof/>
        </w:rPr>
        <w:t>-pdf.</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1">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{"citationItems":[{"id":"ITEM-1","itemData":{"DOI":"10.24252/lamaisyir.v6i2.11790","abstract":"Praktik pengukuran kinerja yang ada di Perbankan Syariah dengan data-data angka yang ada di neraca menggunakan rasio-rasio keuangan yang digunakan oleh lembaga-lembaga konvensional, contohnya pengukuran rasio keuangan dengan menggunakan ROA, ROE, FDR, KPMM, BOPO dan yang lain. Hal ini belum cukup untuk mengukur pencapaian tujuan yang diusung oleh Perbankan Syariah, rasio-rasio tersebut hanya berorientasi pada pengukuran kinerja perbankan syariah yang berorientasi pada profit dunia. Dibutuhkan sebuah alat ukur yang digunakan sebagai ukuran pencapaian kemaslahatan di akhirat, salah satunya konsep Maqosid Syariah Indeks. Analisa dalam penelitian ini menemukan sebuah fakta bahwa dua alat ukur tersebut memiliki kekurangan dan kelebihan masing-masing, alat ukur konvensional yang digunakan oleh perbankan syariah saat ini hanya dapat mengukur dari sisi pencapaian profit dunia, sedangkan alat ukur MSI hanya mengukur kinerja pada sisi falah akhirat. Maka dalam penelitian ini ditawarkan sebuah hasil penelitan berupa rancang bangun konsep alat ukur kinerja perbankan syariah dengan menggabungkan antara dua konsep tersebut sehingga mnjadi sebuah alat ukur yang ideal yang dapat digunakan untuk mengukur pencapaian kinerja perbankan syariah dalam mencapai falah oriented dengan dasar maqashid syariah yang diusung oleh Asy-Syatibi.","author":[{"dropping-particle":"","family":"Solihin","given":"Khabib","non-dropping-particle":"","parse-names":false,"suffix":""},{"dropping-particle":"","family":"Ami’in","given":"Siti Nur","non-dropping-particle":"","parse-names":false,"suffix":""},{"dropping-particle":"","family":"Lestari","given":"Puji","non-dropping-particle":"","parse-names":false,"suffix":""}],"container-title":"LAA MAISYIR : Jurnal Ekonomi Islam","id":"ITEM-1","issue":"2","issued":{"date-parts":[["2019"]]},"page":"148-170","title":"Maqashid shariah sebagai alat ukur kinerja bank syariah telaah konsep maqasid sharia index (Msi) Asy-Syatibi","type":"article-journal","volume":"6"},"uris":["http://www.mendeley.com/documents/?uuid=151876cb-8d76-4271-948f-b4ab8f776fcd"]}],"mendeley":{"formattedCitation":"Khabib Solihin, Siti Nur Ami’in, and Puji Lestari, “Maqashid Shariah Sebagai Alat Ukur Kinerja Bank Syariah Telaah Konsep Maqasid Sharia Index (Msi) Asy-Syatibi,” &lt;i&gt;LAA MAISYIR</w:instrText>
      </w:r>
      <w:r w:rsidRPr="000D5261">
        <w:rPr>
          <w:rFonts w:ascii="Times New Roman" w:hAnsi="Times New Roman"/>
        </w:rPr>
        <w:instrText> </w:instrText>
      </w:r>
      <w:r w:rsidRPr="000D5261">
        <w:rPr>
          <w:rFonts w:ascii="Garamond" w:hAnsi="Garamond"/>
        </w:rPr>
        <w:instrText>: Jurnal Ekonomi Islam&lt;/i&gt; 6, no. 2 (2019): 148–70, doi:10.24252/lamaisyir.v6i2.11790.","plainTextFormattedCitation":"Khabib Solihin, Siti Nur Ami’in, and Puji Lestari, “Maqashid Shariah Sebagai Alat Ukur Kinerja Bank Syariah Telaah Konsep Maqasid Sharia Index (Msi) Asy-Syatibi,” LAA MAISYIR</w:instrText>
      </w:r>
      <w:r w:rsidRPr="000D5261">
        <w:rPr>
          <w:rFonts w:ascii="Times New Roman" w:hAnsi="Times New Roman"/>
        </w:rPr>
        <w:instrText> </w:instrText>
      </w:r>
      <w:r w:rsidRPr="000D5261">
        <w:rPr>
          <w:rFonts w:ascii="Garamond" w:hAnsi="Garamond"/>
        </w:rPr>
        <w:instrText>: Jurnal Ekonomi Islam 6, no. 2 (2019): 148</w:instrText>
      </w:r>
      <w:r w:rsidRPr="000D5261">
        <w:rPr>
          <w:rFonts w:ascii="Garamond" w:hAnsi="Garamond" w:cs="Garamond"/>
        </w:rPr>
        <w:instrText>–</w:instrText>
      </w:r>
      <w:r w:rsidRPr="000D5261">
        <w:rPr>
          <w:rFonts w:ascii="Garamond" w:hAnsi="Garamond"/>
        </w:rPr>
        <w:instrText>70, doi:10.24252/lamaisyir.v6i2.11790.","previouslyFormattedCitation":"Khabib Solihin, Siti Nur Ami</w:instrText>
      </w:r>
      <w:r w:rsidRPr="000D5261">
        <w:rPr>
          <w:rFonts w:ascii="Garamond" w:hAnsi="Garamond" w:cs="Garamond"/>
        </w:rPr>
        <w:instrText>’</w:instrText>
      </w:r>
      <w:r w:rsidRPr="000D5261">
        <w:rPr>
          <w:rFonts w:ascii="Garamond" w:hAnsi="Garamond"/>
        </w:rPr>
        <w:instrText xml:space="preserve">in, and Puji Lestari, </w:instrText>
      </w:r>
      <w:r w:rsidRPr="000D5261">
        <w:rPr>
          <w:rFonts w:ascii="Garamond" w:hAnsi="Garamond" w:cs="Garamond"/>
        </w:rPr>
        <w:instrText>“</w:instrText>
      </w:r>
      <w:r w:rsidRPr="000D5261">
        <w:rPr>
          <w:rFonts w:ascii="Garamond" w:hAnsi="Garamond"/>
        </w:rPr>
        <w:instrText>Maqashid Shariah Sebagai Alat Ukur Kinerja Bank Syariah Telaah Konsep Maqasid Sharia Index (Msi) Asy-Syatibi,” &lt;i&gt;LAA MAISYIR</w:instrText>
      </w:r>
      <w:r w:rsidRPr="000D5261">
        <w:rPr>
          <w:rFonts w:ascii="Times New Roman" w:hAnsi="Times New Roman"/>
        </w:rPr>
        <w:instrText> </w:instrText>
      </w:r>
      <w:r w:rsidRPr="000D5261">
        <w:rPr>
          <w:rFonts w:ascii="Garamond" w:hAnsi="Garamond"/>
        </w:rPr>
        <w:instrText>: Jurnal Ekonomi Islam&lt;/i&gt; 6, no. 2 (2019): 148</w:instrText>
      </w:r>
      <w:r w:rsidRPr="000D5261">
        <w:rPr>
          <w:rFonts w:ascii="Garamond" w:hAnsi="Garamond" w:cs="Garamond"/>
        </w:rPr>
        <w:instrText>–</w:instrText>
      </w:r>
      <w:r w:rsidRPr="000D5261">
        <w:rPr>
          <w:rFonts w:ascii="Garamond" w:hAnsi="Garamond"/>
        </w:rPr>
        <w:instrText>70, doi:10.24252/lamaisyir.v6i2.11790."},"properties":{"noteIndex":0},"schema":"https://github.com/citation-style-language/schema/raw/master/csl-citation.json"}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Khabib Solihin, Siti Nur Ami’in, and Puji Lestari, “Maqashid Shariah Sebagai Alat Ukur Kinerja Bank Syariah Telaah Konsep Maqasid Sharia Index (Msi) Asy-Syatibi,” </w:t>
      </w:r>
      <w:r w:rsidRPr="000D5261">
        <w:rPr>
          <w:rFonts w:ascii="Garamond" w:hAnsi="Garamond"/>
          <w:i/>
          <w:noProof/>
        </w:rPr>
        <w:t>LAA MAISYIR</w:t>
      </w:r>
      <w:r w:rsidRPr="000D5261">
        <w:rPr>
          <w:rFonts w:ascii="Times New Roman" w:hAnsi="Times New Roman"/>
          <w:i/>
          <w:noProof/>
        </w:rPr>
        <w:t> </w:t>
      </w:r>
      <w:r w:rsidRPr="000D5261">
        <w:rPr>
          <w:rFonts w:ascii="Garamond" w:hAnsi="Garamond"/>
          <w:i/>
          <w:noProof/>
        </w:rPr>
        <w:t>: Jurnal Ekonomi Islam</w:t>
      </w:r>
      <w:r w:rsidRPr="000D5261">
        <w:rPr>
          <w:rFonts w:ascii="Garamond" w:hAnsi="Garamond"/>
          <w:noProof/>
        </w:rPr>
        <w:t xml:space="preserve"> 6, no. 2 (2019): 148–70, doi:10.24252/lamaisyir.v6i2.11790.</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3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{"citationItems":[{"id":"ITEM-1","itemData":{"DOI":"10.24090/mnh.v13i2.2460","author":[{"dropping-particle":"","family":"Yulianto","given":"Rohmad Adi","non-dropping-particle":"","parse-names":false,"suffix":""}],"container-title":"Al-Manahij: Jurnal Kajian Hukum Islam","id":"ITEM-1","issue":"2","issued":{"date-parts":[["2019"]]},"page":"169-186.","title":"Kebijakan penanganan pengungsi di Indonesia perspektif maqasid al-Syari'ah","type":"article-journal","volume":"13"},"uris":["http://www.mendeley.com/documents/?uuid=12f69327-62ce-4847-ac50-f75e21e0190a"]}],"mendeley":{"formattedCitation":"Rohmad Adi Yulianto, “Kebijakan Penanganan Pengungsi Di Indonesia Perspektif Maqasid Al-Syari’ah,” &lt;i&gt;Al-Manahij: Jurnal Kajian Hukum Islam&lt;/i&gt; 13, no. 2 (2019): 169-186., doi:10.24090/mnh.v13i2.2460.","plainTextFormattedCitation":"Rohmad Adi Yulianto, “Kebijakan Penanganan Pengungsi Di Indonesia Perspektif Maqasid Al-Syari’ah,” Al-Manahij: Jurnal Kajian Hukum Islam 13, no. 2 (2019): 169-186., doi:10.24090/mnh.v13i2.2460.","previouslyFormattedCitation":"Rohmad Adi Yulianto, “Kebijakan Penanganan Pengungsi Di Indonesia Perspektif Maqasid Al-Syari’ah,” &lt;i&gt;Al-Manahij: Jurnal Kajian Hukum Islam&lt;/i&gt; 13, no. 2 (2019): 169-186., doi:10.24090/mnh.v13i2.2460."},"properties":{"noteIndex":0},"schema":"https://github.com/citation-style-language/schema/raw/master/csl-citation.json"}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Rohmad Adi Yulianto, “Kebijakan Penanganan Pengungsi Di Indonesia Perspektif Maqasid Al-Syari’ah,” </w:t>
      </w:r>
      <w:r w:rsidRPr="000D5261">
        <w:rPr>
          <w:rFonts w:ascii="Garamond" w:hAnsi="Garamond"/>
          <w:i/>
          <w:noProof/>
        </w:rPr>
        <w:t>Al-Manahij: Jurnal Kajian Hukum Islam</w:t>
      </w:r>
      <w:r w:rsidRPr="000D5261">
        <w:rPr>
          <w:rFonts w:ascii="Garamond" w:hAnsi="Garamond"/>
          <w:noProof/>
        </w:rPr>
        <w:t xml:space="preserve"> 13, no. 2 (2019): 169-186., doi:10.24090/mnh.v13i2.2460.</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3">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{"citationItems":[{"id":"ITEM-1","itemData":{"author":[{"dropping-particle":"","family":"Āsyūr","given":"Ibn","non-dropping-particle":"","parse-names":false,"suffix":""}],"edition":"2","id":"ITEM-1","issued":{"date-parts":[["2011"]]},"number-of-pages":"900","publisher":"Dār al-Kitāb al-Mi</w:instrText>
      </w:r>
      <w:r w:rsidRPr="000D5261">
        <w:rPr>
          <w:rFonts w:ascii="Cambria" w:hAnsi="Cambria" w:cs="Cambria"/>
        </w:rPr>
        <w:instrText>ṣ</w:instrText>
      </w:r>
      <w:r w:rsidRPr="000D5261">
        <w:rPr>
          <w:rFonts w:ascii="Garamond" w:hAnsi="Garamond"/>
        </w:rPr>
        <w:instrText>r","publisher-place":"Q</w:instrText>
      </w:r>
      <w:r w:rsidRPr="000D5261">
        <w:rPr>
          <w:rFonts w:ascii="Garamond" w:hAnsi="Garamond" w:cs="Garamond"/>
        </w:rPr>
        <w:instrText>ā</w:instrText>
      </w:r>
      <w:r w:rsidRPr="000D5261">
        <w:rPr>
          <w:rFonts w:ascii="Garamond" w:hAnsi="Garamond"/>
        </w:rPr>
        <w:instrText>hirah","title":"Maq</w:instrText>
      </w:r>
      <w:r w:rsidRPr="000D5261">
        <w:rPr>
          <w:rFonts w:ascii="Garamond" w:hAnsi="Garamond" w:cs="Garamond"/>
        </w:rPr>
        <w:instrText>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miyah","type":"book"},"uris":["http://www.mendeley.com/documents/?uuid=aaefdc12-24ac-438d-ac70-e6b493a094fa"]}],"mendeley":{"formattedCitation":"Ibn Āsyūr, &lt;i&gt;Maqā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 2nd ed. (Q</w:instrText>
      </w:r>
      <w:r w:rsidRPr="000D5261">
        <w:rPr>
          <w:rFonts w:ascii="Garamond" w:hAnsi="Garamond" w:cs="Garamond"/>
        </w:rPr>
        <w:instrText>ā</w:instrText>
      </w:r>
      <w:r w:rsidRPr="000D5261">
        <w:rPr>
          <w:rFonts w:ascii="Garamond" w:hAnsi="Garamond"/>
        </w:rPr>
        <w:instrText>hirah: D</w:instrText>
      </w:r>
      <w:r w:rsidRPr="000D5261">
        <w:rPr>
          <w:rFonts w:ascii="Garamond" w:hAnsi="Garamond" w:cs="Garamond"/>
        </w:rPr>
        <w:instrText>ā</w:instrText>
      </w:r>
      <w:r w:rsidRPr="000D5261">
        <w:rPr>
          <w:rFonts w:ascii="Garamond" w:hAnsi="Garamond"/>
        </w:rPr>
        <w:instrText>r al-Kit</w:instrText>
      </w:r>
      <w:r w:rsidRPr="000D5261">
        <w:rPr>
          <w:rFonts w:ascii="Garamond" w:hAnsi="Garamond" w:cs="Garamond"/>
        </w:rPr>
        <w:instrText>ā</w:instrText>
      </w:r>
      <w:r w:rsidRPr="000D5261">
        <w:rPr>
          <w:rFonts w:ascii="Garamond" w:hAnsi="Garamond"/>
        </w:rPr>
        <w:instrText>b al-Mi</w:instrText>
      </w:r>
      <w:r w:rsidRPr="000D5261">
        <w:rPr>
          <w:rFonts w:ascii="Cambria" w:hAnsi="Cambria" w:cs="Cambria"/>
        </w:rPr>
        <w:instrText>ṣ</w:instrText>
      </w:r>
      <w:r w:rsidRPr="000D5261">
        <w:rPr>
          <w:rFonts w:ascii="Garamond" w:hAnsi="Garamond"/>
        </w:rPr>
        <w:instrText>r, 2011), https://www.noor-book.com/</w:instrText>
      </w:r>
      <w:r w:rsidRPr="000D5261">
        <w:rPr>
          <w:rFonts w:ascii="Garamond" w:hAnsi="Garamond"/>
          <w:rtl/>
        </w:rPr>
        <w:instrText>كتاب-مقاصد-الشريعة-الإسلامية-محمد-الطاهر-بن-عاشور</w:instrText>
      </w:r>
      <w:r w:rsidRPr="000D5261">
        <w:rPr>
          <w:rFonts w:ascii="Garamond" w:hAnsi="Garamond"/>
        </w:rPr>
        <w:instrText>-pdf.","plainTextFormattedCitation":"Ibn Āsyūr, Maqā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 2nd ed. (Q</w:instrText>
      </w:r>
      <w:r w:rsidRPr="000D5261">
        <w:rPr>
          <w:rFonts w:ascii="Garamond" w:hAnsi="Garamond" w:cs="Garamond"/>
        </w:rPr>
        <w:instrText>ā</w:instrText>
      </w:r>
      <w:r w:rsidRPr="000D5261">
        <w:rPr>
          <w:rFonts w:ascii="Garamond" w:hAnsi="Garamond"/>
        </w:rPr>
        <w:instrText>hirah: D</w:instrText>
      </w:r>
      <w:r w:rsidRPr="000D5261">
        <w:rPr>
          <w:rFonts w:ascii="Garamond" w:hAnsi="Garamond" w:cs="Garamond"/>
        </w:rPr>
        <w:instrText>ā</w:instrText>
      </w:r>
      <w:r w:rsidRPr="000D5261">
        <w:rPr>
          <w:rFonts w:ascii="Garamond" w:hAnsi="Garamond"/>
        </w:rPr>
        <w:instrText>r al-Kit</w:instrText>
      </w:r>
      <w:r w:rsidRPr="000D5261">
        <w:rPr>
          <w:rFonts w:ascii="Garamond" w:hAnsi="Garamond" w:cs="Garamond"/>
        </w:rPr>
        <w:instrText>ā</w:instrText>
      </w:r>
      <w:r w:rsidRPr="000D5261">
        <w:rPr>
          <w:rFonts w:ascii="Garamond" w:hAnsi="Garamond"/>
        </w:rPr>
        <w:instrText>b al-Mi</w:instrText>
      </w:r>
      <w:r w:rsidRPr="000D5261">
        <w:rPr>
          <w:rFonts w:ascii="Cambria" w:hAnsi="Cambria" w:cs="Cambria"/>
        </w:rPr>
        <w:instrText>ṣ</w:instrText>
      </w:r>
      <w:r w:rsidRPr="000D5261">
        <w:rPr>
          <w:rFonts w:ascii="Garamond" w:hAnsi="Garamond"/>
        </w:rPr>
        <w:instrText>r, 2011), https://www.noor-book.com/</w:instrText>
      </w:r>
      <w:r w:rsidRPr="000D5261">
        <w:rPr>
          <w:rFonts w:ascii="Garamond" w:hAnsi="Garamond"/>
          <w:rtl/>
        </w:rPr>
        <w:instrText>كتاب-مقاصد-الشريعة-الإسلامية-محمد-الطاهر-بن-عاشور</w:instrText>
      </w:r>
      <w:r w:rsidRPr="000D5261">
        <w:rPr>
          <w:rFonts w:ascii="Garamond" w:hAnsi="Garamond"/>
        </w:rPr>
        <w:instrText>-pdf.","previouslyFormattedCitation":"Ibn Āsyūr, &lt;i&gt;Maqā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 2nd ed. (Q</w:instrText>
      </w:r>
      <w:r w:rsidRPr="000D5261">
        <w:rPr>
          <w:rFonts w:ascii="Garamond" w:hAnsi="Garamond" w:cs="Garamond"/>
        </w:rPr>
        <w:instrText>ā</w:instrText>
      </w:r>
      <w:r w:rsidRPr="000D5261">
        <w:rPr>
          <w:rFonts w:ascii="Garamond" w:hAnsi="Garamond"/>
        </w:rPr>
        <w:instrText>hirah: D</w:instrText>
      </w:r>
      <w:r w:rsidRPr="000D5261">
        <w:rPr>
          <w:rFonts w:ascii="Garamond" w:hAnsi="Garamond" w:cs="Garamond"/>
        </w:rPr>
        <w:instrText>ā</w:instrText>
      </w:r>
      <w:r w:rsidRPr="000D5261">
        <w:rPr>
          <w:rFonts w:ascii="Garamond" w:hAnsi="Garamond"/>
        </w:rPr>
        <w:instrText>r al-Kit</w:instrText>
      </w:r>
      <w:r w:rsidRPr="000D5261">
        <w:rPr>
          <w:rFonts w:ascii="Garamond" w:hAnsi="Garamond" w:cs="Garamond"/>
        </w:rPr>
        <w:instrText>ā</w:instrText>
      </w:r>
      <w:r w:rsidRPr="000D5261">
        <w:rPr>
          <w:rFonts w:ascii="Garamond" w:hAnsi="Garamond"/>
        </w:rPr>
        <w:instrText>b al-Mi</w:instrText>
      </w:r>
      <w:r w:rsidRPr="000D5261">
        <w:rPr>
          <w:rFonts w:ascii="Cambria" w:hAnsi="Cambria" w:cs="Cambria"/>
        </w:rPr>
        <w:instrText>ṣ</w:instrText>
      </w:r>
      <w:r w:rsidRPr="000D5261">
        <w:rPr>
          <w:rFonts w:ascii="Garamond" w:hAnsi="Garamond"/>
        </w:rPr>
        <w:instrText>r, 2011), https://www.noor-book.com/</w:instrText>
      </w:r>
      <w:r w:rsidRPr="000D5261">
        <w:rPr>
          <w:rFonts w:ascii="Garamond" w:hAnsi="Garamond"/>
          <w:rtl/>
        </w:rPr>
        <w:instrText>كتاب-مقاصد-الشريعة-الإسلامية-محمد-الطاهر-بن-عاشور</w:instrText>
      </w:r>
      <w:r w:rsidRPr="000D5261">
        <w:rPr>
          <w:rFonts w:ascii="Garamond" w:hAnsi="Garamond"/>
        </w:rPr>
        <w:instrText>-pdf."},"properties":{"noteIndex":0},"schema":"https://github.com/citation-style-language/schema/raw/master/csl-citation.json"}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Ibn Āsyūr, </w:t>
      </w:r>
      <w:r w:rsidRPr="000D5261">
        <w:rPr>
          <w:rFonts w:ascii="Garamond" w:hAnsi="Garamond"/>
          <w:i/>
          <w:noProof/>
        </w:rPr>
        <w:t>Maqā</w:t>
      </w:r>
      <w:r w:rsidRPr="000D5261">
        <w:rPr>
          <w:rFonts w:ascii="Cambria" w:hAnsi="Cambria" w:cs="Cambria"/>
          <w:i/>
          <w:noProof/>
        </w:rPr>
        <w:t>ṣ</w:t>
      </w:r>
      <w:r w:rsidRPr="000D5261">
        <w:rPr>
          <w:rFonts w:ascii="Garamond" w:hAnsi="Garamond"/>
          <w:i/>
          <w:noProof/>
        </w:rPr>
        <w:t>id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 2nd ed. (Qāhirah: Dār al-Kitāb al-Mi</w:t>
      </w:r>
      <w:r w:rsidRPr="000D5261">
        <w:rPr>
          <w:rFonts w:ascii="Cambria" w:hAnsi="Cambria" w:cs="Cambria"/>
          <w:noProof/>
        </w:rPr>
        <w:t>ṣ</w:t>
      </w:r>
      <w:r w:rsidRPr="000D5261">
        <w:rPr>
          <w:rFonts w:ascii="Garamond" w:hAnsi="Garamond"/>
          <w:noProof/>
        </w:rPr>
        <w:t>r, 2011), https://www.noor-book.com/</w:t>
      </w:r>
      <w:r w:rsidRPr="000D5261">
        <w:rPr>
          <w:rFonts w:ascii="Garamond" w:hAnsi="Garamond"/>
          <w:noProof/>
          <w:rtl/>
        </w:rPr>
        <w:t>كتاب-مقاصد-الشريعة-الإسلامية-محمد-الطاهر-بن-عاشور</w:t>
      </w:r>
      <w:r w:rsidRPr="000D5261">
        <w:rPr>
          <w:rFonts w:ascii="Garamond" w:hAnsi="Garamond"/>
          <w:noProof/>
        </w:rPr>
        <w:t>-pdf.</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","given":"Ibr</w:instrText>
      </w:r>
      <w:r w:rsidRPr="000D5261">
        <w:rPr>
          <w:rFonts w:ascii="Garamond" w:hAnsi="Garamond" w:cs="Garamond"/>
        </w:rPr>
        <w:instrText>ā</w:instrText>
      </w:r>
      <w:r w:rsidRPr="000D5261">
        <w:rPr>
          <w:rFonts w:ascii="Garamond" w:hAnsi="Garamond"/>
        </w:rPr>
        <w:instrText>h</w:instrText>
      </w:r>
      <w:r w:rsidRPr="000D5261">
        <w:rPr>
          <w:rFonts w:ascii="Garamond" w:hAnsi="Garamond" w:cs="Garamond"/>
        </w:rPr>
        <w:instrText>ī</w:instrText>
      </w:r>
      <w:r w:rsidRPr="000D5261">
        <w:rPr>
          <w:rFonts w:ascii="Garamond" w:hAnsi="Garamond"/>
        </w:rPr>
        <w:instrText>m bin M</w:instrText>
      </w:r>
      <w:r w:rsidRPr="000D5261">
        <w:rPr>
          <w:rFonts w:ascii="Garamond" w:hAnsi="Garamond" w:cs="Garamond"/>
        </w:rPr>
        <w:instrText>ū</w:instrText>
      </w:r>
      <w:r w:rsidRPr="000D5261">
        <w:rPr>
          <w:rFonts w:ascii="Garamond" w:hAnsi="Garamond"/>
        </w:rPr>
        <w:instrText>s</w:instrText>
      </w:r>
      <w:r w:rsidRPr="000D5261">
        <w:rPr>
          <w:rFonts w:ascii="Garamond" w:hAnsi="Garamond" w:cs="Garamond"/>
        </w:rPr>
        <w:instrText>ā</w:instrText>
      </w:r>
      <w:r w:rsidRPr="000D5261">
        <w:rPr>
          <w:rFonts w:ascii="Garamond" w:hAnsi="Garamond"/>
        </w:rPr>
        <w:instrText>","non-dropping-particle":"","parse-names":false,"suffix":""}],"edition":"Jilid II","id":"ITEM-1","issued":{"date-parts":[["1996"]]},"number-of-pages":"3377","publisher":"Dār al-Ma'rifah","title":"Al-Muwāfaqāt","type":"book"},"uris":["http://www.mendeley.com/documents/?uuid=81979193-eef6-4e64-85cf-e977b70f8876"]}],"mendeley":{"formattedCitation":"Asy-Syā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t&lt;/i&gt;.","plainTextFormattedCitation":"Asy-Syā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t.","previouslyFormattedCitation":"Asy-Sy</w:instrText>
      </w:r>
      <w:r w:rsidRPr="000D5261">
        <w:rPr>
          <w:rFonts w:ascii="Garamond" w:hAnsi="Garamond" w:cs="Garamond"/>
        </w:rPr>
        <w:instrText>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Asy-Syā</w:t>
      </w:r>
      <w:r w:rsidRPr="000D5261">
        <w:rPr>
          <w:rFonts w:ascii="Cambria" w:hAnsi="Cambria" w:cs="Cambria"/>
          <w:noProof/>
        </w:rPr>
        <w:t>ṭ</w:t>
      </w:r>
      <w:r w:rsidRPr="000D5261">
        <w:rPr>
          <w:rFonts w:ascii="Garamond" w:hAnsi="Garamond"/>
          <w:noProof/>
        </w:rPr>
        <w:t>ib</w:t>
      </w:r>
      <w:r w:rsidRPr="000D5261">
        <w:rPr>
          <w:rFonts w:ascii="Garamond" w:hAnsi="Garamond" w:cs="Garamond"/>
          <w:noProof/>
        </w:rPr>
        <w:t>ī</w:t>
      </w:r>
      <w:r w:rsidRPr="000D5261">
        <w:rPr>
          <w:rFonts w:ascii="Garamond" w:hAnsi="Garamond"/>
          <w:noProof/>
        </w:rPr>
        <w:t xml:space="preserve">, </w:t>
      </w:r>
      <w:r w:rsidRPr="000D5261">
        <w:rPr>
          <w:rFonts w:ascii="Garamond" w:hAnsi="Garamond"/>
          <w:i/>
          <w:noProof/>
        </w:rPr>
        <w:t>Al-Muwāfaqāt</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5">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{"citationItems":[{"id":"ITEM-1","itemData":{"author":[{"dropping-particle":"","family":"Al-Gazālī","given":"Al-Gazālī","non-dropping-particle":"","parse-names":false,"suffix":""}],"edition":"Jilid II","id":"ITEM-1","issued":{"date-parts":[["1413"]]},"number-of-pages":"175","publisher":"Dār Al-Kutub Al-'Ilmiyyah","publisher-place":"Beirut","title":"Al-Mus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","type":"book"},"uris":["http://www.mendeley.com/documents/?uuid=3a2f92a2-796b-40f8-8598-8a9d1f23e329"]}],"mendeley":{"formattedCitation":"Al-Gazālī,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&lt;/i&gt;.","plainTextFormattedCitation":"Al-Gaz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.","previouslyFormattedCitation":"Al-Gaz</w:instrText>
      </w:r>
      <w:r w:rsidRPr="000D5261">
        <w:rPr>
          <w:rFonts w:ascii="Garamond" w:hAnsi="Garamond" w:cs="Garamond"/>
        </w:rPr>
        <w:instrText>ā</w:instrText>
      </w:r>
      <w:r w:rsidRPr="000D5261">
        <w:rPr>
          <w:rFonts w:ascii="Garamond" w:hAnsi="Garamond"/>
        </w:rPr>
        <w:instrText>l</w:instrText>
      </w:r>
      <w:r w:rsidRPr="000D5261">
        <w:rPr>
          <w:rFonts w:ascii="Garamond" w:hAnsi="Garamond" w:cs="Garamond"/>
        </w:rPr>
        <w:instrText>ī</w:instrText>
      </w:r>
      <w:r w:rsidRPr="000D5261">
        <w:rPr>
          <w:rFonts w:ascii="Garamond" w:hAnsi="Garamond"/>
        </w:rPr>
        <w:instrText>, &lt;i&gt;Al-Mus</w:instrText>
      </w:r>
      <w:r w:rsidRPr="000D5261">
        <w:rPr>
          <w:rFonts w:ascii="Cambria" w:hAnsi="Cambria" w:cs="Cambria"/>
        </w:rPr>
        <w:instrText>ṭ</w:instrText>
      </w:r>
      <w:r w:rsidRPr="000D5261">
        <w:rPr>
          <w:rFonts w:ascii="Garamond" w:hAnsi="Garamond"/>
        </w:rPr>
        <w:instrText>af</w:instrText>
      </w:r>
      <w:r w:rsidRPr="000D5261">
        <w:rPr>
          <w:rFonts w:ascii="Garamond" w:hAnsi="Garamond" w:cs="Garamond"/>
        </w:rPr>
        <w:instrText>ā</w:instrText>
      </w:r>
      <w:r w:rsidRPr="000D5261">
        <w:rPr>
          <w:rFonts w:ascii="Garamond" w:hAnsi="Garamond"/>
        </w:rPr>
        <w:instrText>&lt;/i&gt;."},"properties":{"noteIndex":0},"schema":"https://github.com/citation-style-language/schema/raw/master/csl-citation.json"}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Al-Gazālī, </w:t>
      </w:r>
      <w:r w:rsidRPr="000D5261">
        <w:rPr>
          <w:rFonts w:ascii="Garamond" w:hAnsi="Garamond"/>
          <w:i/>
          <w:noProof/>
        </w:rPr>
        <w:t>Al-Mus</w:t>
      </w:r>
      <w:r w:rsidRPr="000D5261">
        <w:rPr>
          <w:rFonts w:ascii="Cambria" w:hAnsi="Cambria" w:cs="Cambria"/>
          <w:i/>
          <w:noProof/>
        </w:rPr>
        <w:t>ṭ</w:t>
      </w:r>
      <w:r w:rsidRPr="000D5261">
        <w:rPr>
          <w:rFonts w:ascii="Garamond" w:hAnsi="Garamond"/>
          <w:i/>
          <w:noProof/>
        </w:rPr>
        <w:t>af</w:t>
      </w:r>
      <w:r w:rsidRPr="000D5261">
        <w:rPr>
          <w:rFonts w:ascii="Garamond" w:hAnsi="Garamond" w:cs="Garamond"/>
          <w:i/>
          <w:noProof/>
        </w:rPr>
        <w:t>ā</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6">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{"citationItems":[{"id":"ITEM-1","itemData":{"DOI":"10.31604/justitia.v1i04.%25p","abstract":"Permasalahan penelitian ini adalah, pertama, bagaimana kedudukan dan kehujjahan maslahah mursalah” dalam hukum Islam? Kedua, apakah “maslahah mursalah” ini dapat diterima oleh Ulama Usul Fiqh dalam menetapkan permasalahn dalam hukum Islam? Metode yang digunakan adalah studi kepustakaan. Data dianalisa dengan teknik induksi dan deduksi. Hasil diperoleh bahwa “maslahah” berkedudukan sebagai bagian dari syariat, yang tidak boleh dikesampingkan meskipun ia tidak disebut dalam nash secara tekstual secara substansial dihajatkan oleh manusia dalam membangun kehidupan mereka. Kemudian secara prinsipil ulama Fiqh dapat menerimanya, meskipun dengan persyaratan-persyaratan yang berbeda. Ada kelompok yang langsung dapat menerima, tetapi ada pula yang lebih hati-hati, sebab di khawatirkan, menjadikan “maslahah” sebagai metode penetapan hukum, hanya sekedar memenuhi kehendak hawa nafsu dan akal semata","author":[{"dropping-particle":"","family":"Pasaribu","given":"Muksana","non-dropping-particle":"","parse-names":false,"suffix":""}],"container-title":"JUSTITIA: Jurnal Ilmu Hukum dan Humaniora","id":"ITEM-1","issue":"4","issued":{"date-parts":[["2014"]]},"page":"11","title":"Maslahat dan perkembangannya sebagai dasar penetapan hukum Islam","type":"article-journal","volume":"1"},"uris":["http://www.mendeley.com/documents/?uuid=fef4f520-77fd-4a44-b2c7-0395cc17d6a0"]}],"mendeley":{"formattedCitation":"Pasaribu, “Maslahat Dan Perkembangannya Sebagai Dasar Penetapan Hukum Islam.”","plainTextFormattedCitation":"Pasaribu, “Maslahat Dan Perkembangannya Sebagai Dasar Penetapan Hukum Islam.”","previouslyFormattedCitation":"Pasaribu, “Maslahat Dan Perkembangannya Sebagai Dasar Penetapan Hukum Islam.”"},"properties":{"noteIndex":0},"schema":"https://github.com/citation-style-language/schema/raw/master/csl-citation.json"}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Pasaribu, “Maslahat Dan Perkembangannya Sebagai Dasar Penetapan Hukum Islam.”</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7">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{"citationItems":[{"id":"ITEM-1","itemData":{"DOI":"10.21111/tsaqafah.v13i2.1183","abstract":"The concepts of maslahat and mafsadah known as the main reference in Islamic laws to resolve contemporary Muslims problems. The concepts of maslahat and mafsadah as a centre in maqâs}id al-syarî‘ah already discussed by Imam al-Ghazali in his books. Imam al-Ghazali well known to be the first scholars in the study of these concepts. Imam al-Ghazali’s highlights the concepts of maslahat and mafsadah should be based on the texts (nas}s}). However, Imam al-Ghazali mentioned the concept of maslahat used as a method not an absolute sources after al-Qur’an, al-Sunnah, ijmâ’ and qiyâs in the deriving of Islamic laws. This paper tries to explains the concepts of maslahat and mafsadah following the study conducted by Imam al-Ghazali. The findings suggests that Imam al-Ghazali well known as the first jurist who pioners the framework of maqâs}id al-syarî‘ah. There ara two reasons as to why he is considered as the pioneer of the concept of maqâs}id al-syarî‘ah. The first reason is due to his systematic and detailed treatment of the concepts in his last and definitive work on legal theory; al-Mustas}fa. The second reason is due to the use of his terminologies and classifications of the concept by later jurists. These all serve as the evidences to considering him as the pioneer of the concepts of maslahat and mafsadah as a legal theory. Moreover, Imam al-Ghazali tried to proposed several ‘tarjîh}’ methods how to apply the both concepts when there is a contradiction between the two concepts.","author":[{"dropping-particle":"","family":"Akbar Sarif","given":"Ridzwan Ahmad","non-dropping-particle":"","parse-names":false,"suffix":""}],"container-title":"Tsaqafah","id":"ITEM-1","issue":"2","issued":{"date-parts":[["2017"]]},"page":"15","title":"Konsep maslahat dan mafsadat menurut Imam al-Gazali","type":"article-journal","volume":"2"},"uris":["http://www.mendeley.com/documents/?uuid=64f68db6-16de-403f-bfd4-f485a2dcd971"]}],"mendeley":{"formattedCitation":"Akbar Sarif, “Konsep Maslahat Dan Mafsadat Menurut Imam Al-Gazali.”","plainTextFormattedCitation":"Akbar Sarif, “Konsep Maslahat Dan Mafsadat Menurut Imam Al-Gazali.”","previouslyFormattedCitation":"Akbar Sarif, “Konsep Maslahat Dan Mafsadat Menurut Imam Al-Gazali.”"},"properties":{"noteIndex":0},"schema":"https://github.com/citation-style-language/schema/raw/master/csl-citation.json"}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Akbar Sarif, “Konsep Maslahat Dan Mafsadat Menurut Imam Al-Gazali.”</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8">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{"citationItems":[{"id":"ITEM-1","itemData":{"author":[{"dropping-particle":"","family":"Al-Būtī","given":"Muhammad Sa'īd Rama</w:instrText>
      </w:r>
      <w:r w:rsidRPr="000D5261">
        <w:rPr>
          <w:rFonts w:ascii="Cambria" w:hAnsi="Cambria" w:cs="Cambria"/>
        </w:rPr>
        <w:instrText>ḍ</w:instrText>
      </w:r>
      <w:r w:rsidRPr="000D5261">
        <w:rPr>
          <w:rFonts w:ascii="Garamond" w:hAnsi="Garamond"/>
        </w:rPr>
        <w:instrText>an","non-dropping-particle":"","parse-names":false,"suffix":""}],"id":"ITEM-1","issued":{"date-parts":[["1973"]]},"number-of-pages":"466","publisher":"Muassasah Ar-Risālah","publisher-place":"Damaskus","title":"</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miyah","type":"book"},"uris":["http://www.mendeley.com/documents/?uuid=2b6ead61-aee0-4a0b-83b4-07164ec77793"]}],"mendeley":{"formattedCitation":"Al-Būtī,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miyah&lt;/i&gt;.","plainTextFormattedCitation":"Al-B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xml:space="preserve">, </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miyah.","previouslyFormattedCitation":"Al-B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Asy-Syarī’ah Al-Islāmiyah&lt;/i&gt;."},"properties":{"noteIndex":0},"schema":"https://github.com/citation-style-language/schema/raw/master/csl-citation.json"}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Al-Būtī, </w:t>
      </w:r>
      <w:r w:rsidRPr="000D5261">
        <w:rPr>
          <w:rFonts w:ascii="Cambria" w:hAnsi="Cambria" w:cs="Cambria"/>
          <w:i/>
          <w:noProof/>
        </w:rPr>
        <w:t>Ḍ</w:t>
      </w:r>
      <w:r w:rsidRPr="000D5261">
        <w:rPr>
          <w:rFonts w:ascii="Garamond" w:hAnsi="Garamond"/>
          <w:i/>
          <w:noProof/>
        </w:rPr>
        <w:t>awabi</w:t>
      </w:r>
      <w:r w:rsidRPr="000D5261">
        <w:rPr>
          <w:rFonts w:ascii="Cambria" w:hAnsi="Cambria" w:cs="Cambria"/>
          <w:i/>
          <w:noProof/>
        </w:rPr>
        <w:t>ṭ</w:t>
      </w:r>
      <w:r w:rsidRPr="000D5261">
        <w:rPr>
          <w:rFonts w:ascii="Garamond" w:hAnsi="Garamond"/>
          <w:i/>
          <w:noProof/>
        </w:rPr>
        <w:t xml:space="preserve"> Al-Ma</w:t>
      </w:r>
      <w:r w:rsidRPr="000D5261">
        <w:rPr>
          <w:rFonts w:ascii="Cambria" w:hAnsi="Cambria" w:cs="Cambria"/>
          <w:i/>
          <w:noProof/>
        </w:rPr>
        <w:t>ṣ</w:t>
      </w:r>
      <w:r w:rsidRPr="000D5261">
        <w:rPr>
          <w:rFonts w:ascii="Garamond" w:hAnsi="Garamond"/>
          <w:i/>
          <w:noProof/>
        </w:rPr>
        <w:t>la</w:t>
      </w:r>
      <w:r w:rsidRPr="000D5261">
        <w:rPr>
          <w:rFonts w:ascii="Cambria" w:hAnsi="Cambria" w:cs="Cambria"/>
          <w:i/>
          <w:noProof/>
        </w:rPr>
        <w:t>ḥ</w:t>
      </w:r>
      <w:r w:rsidRPr="000D5261">
        <w:rPr>
          <w:rFonts w:ascii="Garamond" w:hAnsi="Garamond"/>
          <w:i/>
          <w:noProof/>
        </w:rPr>
        <w:t>ah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3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{"citationItems":[{"id":"ITEM-1","itemData":{"DOI":"10.31604/justitia.v1i04.%25p","abstract":"Permasalahan penelitian ini adalah, pertama, bagaimana kedudukan dan kehujjahan maslahah mursalah” dalam hukum Islam? Kedua, apakah “maslahah mursalah” ini dapat diterima oleh Ulama Usul Fiqh dalam menetapkan permasalahn dalam hukum Islam? Metode yang digunakan adalah studi kepustakaan. Data dianalisa dengan teknik induksi dan deduksi. Hasil diperoleh bahwa “maslahah” berkedudukan sebagai bagian dari syariat, yang tidak boleh dikesampingkan meskipun ia tidak disebut dalam nash secara tekstual secara substansial dihajatkan oleh manusia dalam membangun kehidupan mereka. Kemudian secara prinsipil ulama Fiqh dapat menerimanya, meskipun dengan persyaratan-persyaratan yang berbeda. Ada kelompok yang langsung dapat menerima, tetapi ada pula yang lebih hati-hati, sebab di khawatirkan, menjadikan “maslahah” sebagai metode penetapan hukum, hanya sekedar memenuhi kehendak hawa nafsu dan akal semata","author":[{"dropping-particle":"","family":"Pasaribu","given":"Muksana","non-dropping-particle":"","parse-names":false,"suffix":""}],"container-title":"JUSTITIA: Jurnal Ilmu Hukum dan Humaniora","id":"ITEM-1","issue":"4","issued":{"date-parts":[["2014"]]},"page":"11","title":"Maslahat dan perkembangannya sebagai dasar penetapan hukum Islam","type":"article-journal","volume":"1"},"uris":["http://www.mendeley.com/documents/?uuid=fef4f520-77fd-4a44-b2c7-0395cc17d6a0"]}],"mendeley":{"formattedCitation":"Pasaribu, “Maslahat Dan Perkembangannya Sebagai Dasar Penetapan Hukum Islam.”","plainTextFormattedCitation":"Pasaribu, “Maslahat Dan Perkembangannya Sebagai Dasar Penetapan Hukum Islam.”","previouslyFormattedCitation":"Pasaribu, “Maslahat Dan Perkembangannya Sebagai Dasar Penetapan Hukum Islam.”"},"properties":{"noteIndex":0},"schema":"https://github.com/citation-style-language/schema/raw/master/csl-citation.json"}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Pasaribu, “Maslahat Dan Perkembangannya Sebagai Dasar Penetapan Hukum Islam.”</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0">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t xml:space="preserve"> </w:t>
      </w:r>
      <w:r w:rsidRPr="000D5261">
        <w:rPr>
          <w:rFonts w:ascii="Garamond" w:hAnsi="Garamond"/>
        </w:rPr>
        <w:fldChar w:fldCharType="begin" w:fldLock="1"/>
      </w:r>
      <w:r w:rsidRPr="000D5261">
        <w:rPr>
          <w:rFonts w:ascii="Garamond" w:hAnsi="Garamond"/>
        </w:rPr>
        <w:instrText>ADDIN CSL_CITATION {"citationItems":[{"id":"ITEM-1","itemData":{"author":[{"dropping-particle":"","family":"Āsyūr","given":"Ibn","non-dropping-particle":"","parse-names":false,"suffix":""}],"edition":"2","id":"ITEM-1","issued":{"date-parts":[["2011"]]},"number-of-pages":"900","publisher":"Dār al-Kitāb al-Mi</w:instrText>
      </w:r>
      <w:r w:rsidRPr="000D5261">
        <w:rPr>
          <w:rFonts w:ascii="Cambria" w:hAnsi="Cambria" w:cs="Cambria"/>
        </w:rPr>
        <w:instrText>ṣ</w:instrText>
      </w:r>
      <w:r w:rsidRPr="000D5261">
        <w:rPr>
          <w:rFonts w:ascii="Garamond" w:hAnsi="Garamond"/>
        </w:rPr>
        <w:instrText>r","publisher-place":"Q</w:instrText>
      </w:r>
      <w:r w:rsidRPr="000D5261">
        <w:rPr>
          <w:rFonts w:ascii="Garamond" w:hAnsi="Garamond" w:cs="Garamond"/>
        </w:rPr>
        <w:instrText>ā</w:instrText>
      </w:r>
      <w:r w:rsidRPr="000D5261">
        <w:rPr>
          <w:rFonts w:ascii="Garamond" w:hAnsi="Garamond"/>
        </w:rPr>
        <w:instrText>hirah","title":"Maqā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miyah","type":"book"},"uris":["http://www.mendeley.com/documents/?uuid=aaefdc12-24ac-438d-ac70-e6b493a094fa"]}],"mendeley":{"formattedCitation":"</w:instrText>
      </w:r>
      <w:r w:rsidRPr="000D5261">
        <w:rPr>
          <w:rFonts w:ascii="Garamond" w:hAnsi="Garamond" w:cs="Garamond"/>
        </w:rPr>
        <w:instrText>Ā</w:instrText>
      </w:r>
      <w:r w:rsidRPr="000D5261">
        <w:rPr>
          <w:rFonts w:ascii="Garamond" w:hAnsi="Garamond"/>
        </w:rPr>
        <w:instrText>sy</w:instrText>
      </w:r>
      <w:r w:rsidRPr="000D5261">
        <w:rPr>
          <w:rFonts w:ascii="Garamond" w:hAnsi="Garamond" w:cs="Garamond"/>
        </w:rPr>
        <w:instrText>ū</w:instrText>
      </w:r>
      <w:r w:rsidRPr="000D5261">
        <w:rPr>
          <w:rFonts w:ascii="Garamond" w:hAnsi="Garamond"/>
        </w:rPr>
        <w:instrText>r, &lt;i&gt;Maq</w:instrText>
      </w:r>
      <w:r w:rsidRPr="000D5261">
        <w:rPr>
          <w:rFonts w:ascii="Garamond" w:hAnsi="Garamond" w:cs="Garamond"/>
        </w:rPr>
        <w:instrText>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miyah&lt;/i&gt;.","plainTextFormattedCitation":"Āsyūr, Maqā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miyah.","previouslyFormattedCitation":"</w:instrText>
      </w:r>
      <w:r w:rsidRPr="000D5261">
        <w:rPr>
          <w:rFonts w:ascii="Garamond" w:hAnsi="Garamond" w:cs="Garamond"/>
        </w:rPr>
        <w:instrText>Ā</w:instrText>
      </w:r>
      <w:r w:rsidRPr="000D5261">
        <w:rPr>
          <w:rFonts w:ascii="Garamond" w:hAnsi="Garamond"/>
        </w:rPr>
        <w:instrText>sy</w:instrText>
      </w:r>
      <w:r w:rsidRPr="000D5261">
        <w:rPr>
          <w:rFonts w:ascii="Garamond" w:hAnsi="Garamond" w:cs="Garamond"/>
        </w:rPr>
        <w:instrText>ū</w:instrText>
      </w:r>
      <w:r w:rsidRPr="000D5261">
        <w:rPr>
          <w:rFonts w:ascii="Garamond" w:hAnsi="Garamond"/>
        </w:rPr>
        <w:instrText>r, &lt;i&gt;Maq</w:instrText>
      </w:r>
      <w:r w:rsidRPr="000D5261">
        <w:rPr>
          <w:rFonts w:ascii="Garamond" w:hAnsi="Garamond" w:cs="Garamond"/>
        </w:rPr>
        <w:instrText>ā</w:instrText>
      </w:r>
      <w:r w:rsidRPr="000D5261">
        <w:rPr>
          <w:rFonts w:ascii="Cambria" w:hAnsi="Cambria" w:cs="Cambria"/>
        </w:rPr>
        <w:instrText>ṣ</w:instrText>
      </w:r>
      <w:r w:rsidRPr="000D5261">
        <w:rPr>
          <w:rFonts w:ascii="Garamond" w:hAnsi="Garamond"/>
        </w:rPr>
        <w:instrText>id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Āsyūr, </w:t>
      </w:r>
      <w:r w:rsidRPr="000D5261">
        <w:rPr>
          <w:rFonts w:ascii="Garamond" w:hAnsi="Garamond"/>
          <w:i/>
          <w:noProof/>
        </w:rPr>
        <w:t>Maqā</w:t>
      </w:r>
      <w:r w:rsidRPr="000D5261">
        <w:rPr>
          <w:rFonts w:ascii="Cambria" w:hAnsi="Cambria" w:cs="Cambria"/>
          <w:i/>
          <w:noProof/>
        </w:rPr>
        <w:t>ṣ</w:t>
      </w:r>
      <w:r w:rsidRPr="000D5261">
        <w:rPr>
          <w:rFonts w:ascii="Garamond" w:hAnsi="Garamond"/>
          <w:i/>
          <w:noProof/>
        </w:rPr>
        <w:t>id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1">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{"citationItems":[{"id":"ITEM-1","itemData":{"DOI":"10.21111/tsaqafah.v13i2.1183","abstract":"The concepts of maslahat and mafsadah known as the main reference in Islamic laws to resolve contemporary Muslims problems. The concepts of maslahat and mafsadah as a centre in maqâs}id al-syarî‘ah already discussed by Imam al-Ghazali in his books. Imam al-Ghazali well known to be the first scholars in the study of these concepts. Imam al-Ghazali’s highlights the concepts of maslahat and mafsadah should be based on the texts (nas}s}). However, Imam al-Ghazali mentioned the concept of maslahat used as a method not an absolute sources after al-Qur’an, al-Sunnah, ijmâ’ and qiyâs in the deriving of Islamic laws. This paper tries to explains the concepts of maslahat and mafsadah following the study conducted by Imam al-Ghazali. The findings suggests that Imam al-Ghazali well known as the first jurist who pioners the framework of maqâs}id al-syarî‘ah. There ara two reasons as to why he is considered as the pioneer of the concept of maqâs}id al-syarî‘ah. The first reason is due to his systematic and detailed treatment of the concepts in his last and definitive work on legal theory; al-Mustas}fa. The second reason is due to the use of his terminologies and classifications of the concept by later jurists. These all serve as the evidences to considering him as the pioneer of the concepts of maslahat and mafsadah as a legal theory. Moreover, Imam al-Ghazali tried to proposed several ‘tarjîh}’ methods how to apply the both concepts when there is a contradiction between the two concepts.","author":[{"dropping-particle":"","family":"Akbar Sarif","given":"Ridzwan Ahmad","non-dropping-particle":"","parse-names":false,"suffix":""}],"container-title":"Tsaqafah","id":"ITEM-1","issue":"2","issued":{"date-parts":[["2017"]]},"page":"15","title":"Konsep maslahat dan mafsadat menurut Imam al-Gazali","type":"article-journal","volume":"2"},"uris":["http://www.mendeley.com/documents/?uuid=64f68db6-16de-403f-bfd4-f485a2dcd971"]}],"mendeley":{"formattedCitation":"Akbar Sarif, “Konsep Maslahat Dan Mafsadat Menurut Imam Al-Gazali.”","plainTextFormattedCitation":"Akbar Sarif, “Konsep Maslahat Dan Mafsadat Menurut Imam Al-Gazali.”","previouslyFormattedCitation":"Akbar Sarif, “Konsep Maslahat Dan Mafsadat Menurut Imam Al-Gazali.”"},"properties":{"noteIndex":0},"schema":"https://github.com/citation-style-language/schema/raw/master/csl-citation.json"}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Akbar Sarif, “Konsep Maslahat Dan Mafsadat Menurut Imam Al-Gazali.”</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{"citationItems":[{"id":"ITEM-1","itemData":{"author":[{"dropping-particle":"","family":"Al-Būtī","given":"Muhammad Sa'īd Rama</w:instrText>
      </w:r>
      <w:r w:rsidRPr="000D5261">
        <w:rPr>
          <w:rFonts w:ascii="Cambria" w:hAnsi="Cambria" w:cs="Cambria"/>
        </w:rPr>
        <w:instrText>ḍ</w:instrText>
      </w:r>
      <w:r w:rsidRPr="000D5261">
        <w:rPr>
          <w:rFonts w:ascii="Garamond" w:hAnsi="Garamond"/>
        </w:rPr>
        <w:instrText>an","non-dropping-particle":"","parse-names":false,"suffix":""}],"id":"ITEM-1","issued":{"date-parts":[["1973"]]},"number-of-pages":"466","publisher":"Muassasah Ar-Risālah","publisher-place":"Damaskus","title":"</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miyah","type":"book"},"uris":["http://www.mendeley.com/documents/?uuid=2b6ead61-aee0-4a0b-83b4-07164ec77793"]}],"mendeley":{"formattedCitation":"Al-Būtī,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miyah&lt;/i&gt;.","plainTextFormattedCitation":"Al-B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xml:space="preserve">, </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miyah.","previouslyFormattedCitation":"Al-B</w:instrText>
      </w:r>
      <w:r w:rsidRPr="000D5261">
        <w:rPr>
          <w:rFonts w:ascii="Garamond" w:hAnsi="Garamond" w:cs="Garamond"/>
        </w:rPr>
        <w:instrText>ū</w:instrText>
      </w:r>
      <w:r w:rsidRPr="000D5261">
        <w:rPr>
          <w:rFonts w:ascii="Garamond" w:hAnsi="Garamond"/>
        </w:rPr>
        <w:instrText>t</w:instrText>
      </w:r>
      <w:r w:rsidRPr="000D5261">
        <w:rPr>
          <w:rFonts w:ascii="Garamond" w:hAnsi="Garamond" w:cs="Garamond"/>
        </w:rPr>
        <w:instrText>ī</w:instrText>
      </w:r>
      <w:r w:rsidRPr="000D5261">
        <w:rPr>
          <w:rFonts w:ascii="Garamond" w:hAnsi="Garamond"/>
        </w:rPr>
        <w:instrText>, &lt;i&gt;</w:instrText>
      </w:r>
      <w:r w:rsidRPr="000D5261">
        <w:rPr>
          <w:rFonts w:ascii="Cambria" w:hAnsi="Cambria" w:cs="Cambria"/>
        </w:rPr>
        <w:instrText>Ḍ</w:instrText>
      </w:r>
      <w:r w:rsidRPr="000D5261">
        <w:rPr>
          <w:rFonts w:ascii="Garamond" w:hAnsi="Garamond"/>
        </w:rPr>
        <w:instrText>awabi</w:instrText>
      </w:r>
      <w:r w:rsidRPr="000D5261">
        <w:rPr>
          <w:rFonts w:ascii="Cambria" w:hAnsi="Cambria" w:cs="Cambria"/>
        </w:rPr>
        <w:instrText>ṭ</w:instrText>
      </w:r>
      <w:r w:rsidRPr="000D5261">
        <w:rPr>
          <w:rFonts w:ascii="Garamond" w:hAnsi="Garamond"/>
        </w:rPr>
        <w:instrText xml:space="preserve"> Al-Ma</w:instrText>
      </w:r>
      <w:r w:rsidRPr="000D5261">
        <w:rPr>
          <w:rFonts w:ascii="Cambria" w:hAnsi="Cambria" w:cs="Cambria"/>
        </w:rPr>
        <w:instrText>ṣ</w:instrText>
      </w:r>
      <w:r w:rsidRPr="000D5261">
        <w:rPr>
          <w:rFonts w:ascii="Garamond" w:hAnsi="Garamond"/>
        </w:rPr>
        <w:instrText>la</w:instrText>
      </w:r>
      <w:r w:rsidRPr="000D5261">
        <w:rPr>
          <w:rFonts w:ascii="Cambria" w:hAnsi="Cambria" w:cs="Cambria"/>
        </w:rPr>
        <w:instrText>ḥ</w:instrText>
      </w:r>
      <w:r w:rsidRPr="000D5261">
        <w:rPr>
          <w:rFonts w:ascii="Garamond" w:hAnsi="Garamond"/>
        </w:rPr>
        <w:instrText>ah Asy-Syar</w:instrText>
      </w:r>
      <w:r w:rsidRPr="000D5261">
        <w:rPr>
          <w:rFonts w:ascii="Garamond" w:hAnsi="Garamond" w:cs="Garamond"/>
        </w:rPr>
        <w:instrText>ī’</w:instrText>
      </w:r>
      <w:r w:rsidRPr="000D5261">
        <w:rPr>
          <w:rFonts w:ascii="Garamond" w:hAnsi="Garamond"/>
        </w:rPr>
        <w:instrText>ah Al-Isl</w:instrText>
      </w:r>
      <w:r w:rsidRPr="000D5261">
        <w:rPr>
          <w:rFonts w:ascii="Garamond" w:hAnsi="Garamond" w:cs="Garamond"/>
        </w:rPr>
        <w:instrText>ā</w:instrText>
      </w:r>
      <w:r w:rsidRPr="000D5261">
        <w:rPr>
          <w:rFonts w:ascii="Garamond" w:hAnsi="Garamond"/>
        </w:rPr>
        <w:instrText>miyah&lt;/i&gt;."},"properties":{"noteIndex":0},"schema":"https://github.com/citation-style-language/schema/raw/master/csl-citation.json"}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Al-Būtī, </w:t>
      </w:r>
      <w:r w:rsidRPr="000D5261">
        <w:rPr>
          <w:rFonts w:ascii="Cambria" w:hAnsi="Cambria" w:cs="Cambria"/>
          <w:i/>
          <w:noProof/>
        </w:rPr>
        <w:t>Ḍ</w:t>
      </w:r>
      <w:r w:rsidRPr="000D5261">
        <w:rPr>
          <w:rFonts w:ascii="Garamond" w:hAnsi="Garamond"/>
          <w:i/>
          <w:noProof/>
        </w:rPr>
        <w:t>awabi</w:t>
      </w:r>
      <w:r w:rsidRPr="000D5261">
        <w:rPr>
          <w:rFonts w:ascii="Cambria" w:hAnsi="Cambria" w:cs="Cambria"/>
          <w:i/>
          <w:noProof/>
        </w:rPr>
        <w:t>ṭ</w:t>
      </w:r>
      <w:r w:rsidRPr="000D5261">
        <w:rPr>
          <w:rFonts w:ascii="Garamond" w:hAnsi="Garamond"/>
          <w:i/>
          <w:noProof/>
        </w:rPr>
        <w:t xml:space="preserve"> Al-Ma</w:t>
      </w:r>
      <w:r w:rsidRPr="000D5261">
        <w:rPr>
          <w:rFonts w:ascii="Cambria" w:hAnsi="Cambria" w:cs="Cambria"/>
          <w:i/>
          <w:noProof/>
        </w:rPr>
        <w:t>ṣ</w:t>
      </w:r>
      <w:r w:rsidRPr="000D5261">
        <w:rPr>
          <w:rFonts w:ascii="Garamond" w:hAnsi="Garamond"/>
          <w:i/>
          <w:noProof/>
        </w:rPr>
        <w:t>la</w:t>
      </w:r>
      <w:r w:rsidRPr="000D5261">
        <w:rPr>
          <w:rFonts w:ascii="Cambria" w:hAnsi="Cambria" w:cs="Cambria"/>
          <w:i/>
          <w:noProof/>
        </w:rPr>
        <w:t>ḥ</w:t>
      </w:r>
      <w:r w:rsidRPr="000D5261">
        <w:rPr>
          <w:rFonts w:ascii="Garamond" w:hAnsi="Garamond"/>
          <w:i/>
          <w:noProof/>
        </w:rPr>
        <w:t>ah Asy-Syar</w:t>
      </w:r>
      <w:r w:rsidRPr="000D5261">
        <w:rPr>
          <w:rFonts w:ascii="Garamond" w:hAnsi="Garamond" w:cs="Garamond"/>
          <w:i/>
          <w:noProof/>
        </w:rPr>
        <w:t>ī’</w:t>
      </w:r>
      <w:r w:rsidRPr="000D5261">
        <w:rPr>
          <w:rFonts w:ascii="Garamond" w:hAnsi="Garamond"/>
          <w:i/>
          <w:noProof/>
        </w:rPr>
        <w:t>ah Al-Isl</w:t>
      </w:r>
      <w:r w:rsidRPr="000D5261">
        <w:rPr>
          <w:rFonts w:ascii="Garamond" w:hAnsi="Garamond" w:cs="Garamond"/>
          <w:i/>
          <w:noProof/>
        </w:rPr>
        <w:t>ā</w:t>
      </w:r>
      <w:r w:rsidRPr="000D5261">
        <w:rPr>
          <w:rFonts w:ascii="Garamond" w:hAnsi="Garamond"/>
          <w:i/>
          <w:noProof/>
        </w:rPr>
        <w:t>miyah</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3">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{"citationItems":[{"id":"ITEM-1","itemData":{"author":[{"dropping-particle":"","family":"Hasyim","given":"Syafiq","non-dropping-particle":"","parse-names":false,"suffix":""}],"container-title":"Irasec","id":"ITEM-1","issued":{"date-parts":[["2011"]]},"page":"26","title":"The Council of Indonesian Ulama (Majelis Ulama Indonesia, MUI) and religious freedom","type":"article-journal","volume":"12"},"uris":["http://www.mendeley.com/documents/?uuid=dd7100a5-688e-4441-a9cf-bf3cf4adf26d"]}],"mendeley":{"formattedCitation":"Syafiq Hasyim, “The Council of Indonesian Ulama (Majelis Ulama Indonesia, MUI) and Religious Freedom,” &lt;i&gt;Irasec&lt;/i&gt; 12 (2011): 26, https://www.irasec.com/ouvrage36.","plainTextFormattedCitation":"Syafiq Hasyim, “The Council of Indonesian Ulama (Majelis Ulama Indonesia, MUI) and Religious Freedom,” Irasec 12 (2011): 26, https://www.irasec.com/ouvrage36.","previouslyFormattedCitation":"Syafiq Hasyim, “The Council of Indonesian Ulama (Majelis Ulama Indonesia, MUI) and Religious Freedom,” &lt;i&gt;Irasec&lt;/i&gt; 12 (2011): 26, https://www.irasec.com/ouvrage36."},"properties":{"noteIndex":0},"schema":"https://github.com/citation-style-language/schema/raw/master/csl-citation.json"}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Syafiq Hasyim, “The Council of Indonesian Ulama (Majelis Ulama Indonesia, MUI) and Religious Freedom,” </w:t>
      </w:r>
      <w:r w:rsidRPr="000D5261">
        <w:rPr>
          <w:rFonts w:ascii="Garamond" w:hAnsi="Garamond"/>
          <w:i/>
          <w:noProof/>
        </w:rPr>
        <w:t>Irasec</w:t>
      </w:r>
      <w:r w:rsidRPr="000D5261">
        <w:rPr>
          <w:rFonts w:ascii="Garamond" w:hAnsi="Garamond"/>
          <w:noProof/>
        </w:rPr>
        <w:t xml:space="preserve"> 12 (2011): 26, https://www.irasec.com/ouvrage36.</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{"citationItems":[{"id":"ITEM-1","itemData":{"DOI":"0000-0002-9453-0672","abstract":"The Indonesian Ulema Council (MUI) has an important role in answering the increasingly complex problems of Muslims through fatwas. However, in the Indonesian legal system, fatwas are not considered a source of material law that has legal validity as a solution to the problems of Muslims in Indonesia. Therefore, this study aims to describe the position of fatwas in the legal system in Indonesia and the existence of the fatwas of the Indonesian Ulema Council in addressing the problems of the ummah. This research is a normative legal research using three types of approaches consisting of a statutory approach, a historical approach, and a conceptual approach. The results of this study concluded that: firstly, the position of fatwas in the construction of Islamic law has a high position. Fatwas are seen as a solution that can break the ice in legal development that is not accommodated by the texts of the Quran. So, substantively and sociologically, fatwas have a strong and binding position in Islamic law. Secondly, the existence of the fatwa of the Indonesian Ulema Council in responding to the problems of the Ummah can be seen in two aspects. The first aspect, fatwas in the perspective of Islamic legal authority are binding sociologically in substance. This is because fatwas are explanations and interpreters of the texts of the Quran regarding Islamic law. The second aspect, fatwas from the perspective of the hierarchy of laws and regulations, legally and formally, do not have any position in the ranking of legal norms. However, it is constitutionally guaranteed through Article 29 of the 1945 Constitution that guarantees the realization of the fulfillment of all Islamic law for Muslims in Indonesia.","author":[{"dropping-particle":"","family":"Pelu","given":"Ibnu Elmi Achmat Slamat","non-dropping-particle":"","parse-names":false,"suffix":""}],"container-title":"Al-Manahij: Jurnal Kajian Hukum Islam","id":"ITEM-1","issue":"2","issued":{"date-parts":[["2020"]]},"page":"307-316","title":"Fatwa Majelis Ulama Indonesia sebagai solusi permasalahan umat Islam di Indonesia","type":"article-journal","volume":"14"},"uris":["http://www.mendeley.com/documents/?uuid=96e1de8e-d10e-4770-aa13-839933771b3f"]}],"mendeley":{"formattedCitation":"Ibnu Elmi Achmat Slamat Pelu, “Fatwa Majelis Ulama Indonesia Sebagai Solusi Permasalahan Umat Islam Di Indonesia,” &lt;i&gt;Al-Manahij: Jurnal Kajian Hukum Islam&lt;/i&gt; 14, no. 2 (2020): 307–16, doi:0000-0002-9453-0672.","plainTextFormattedCitation":"Ibnu Elmi Achmat Slamat Pelu, “Fatwa Majelis Ulama Indonesia Sebagai Solusi Permasalahan Umat Islam Di Indonesia,” Al-Manahij: Jurnal Kajian Hukum Islam 14, no. 2 (2020): 307–16, doi:0000-0002-9453-0672.","previouslyFormattedCitation":"Ibnu Elmi Achmat Slamat Pelu, “Fatwa Majelis Ulama Indonesia Sebagai Solusi Permasalahan Umat Islam Di Indonesia,” &lt;i&gt;Al-Manahij: Jurnal Kajian Hukum Islam&lt;/i&gt; 14, no. 2 (2020): 307–16, doi:0000-0002-9453-0672."},"properties":{"noteIndex":0},"schema":"https://github.com/citation-style-language/schema/raw/master/csl-citation.json"}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Ibnu Elmi Achmat Slamat Pelu, “Fatwa Majelis Ulama Indonesia Sebagai Solusi Permasalahan Umat Islam Di Indonesia,” </w:t>
      </w:r>
      <w:r w:rsidRPr="000D5261">
        <w:rPr>
          <w:rFonts w:ascii="Garamond" w:hAnsi="Garamond"/>
          <w:i/>
          <w:noProof/>
        </w:rPr>
        <w:t>Al-Manahij: Jurnal Kajian Hukum Islam</w:t>
      </w:r>
      <w:r w:rsidRPr="000D5261">
        <w:rPr>
          <w:rFonts w:ascii="Garamond" w:hAnsi="Garamond"/>
          <w:noProof/>
        </w:rPr>
        <w:t xml:space="preserve"> 14, no. 2 (2020): 307–16, doi:0000-0002-9453-0672.</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5">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{"citationItems":[{"id":"ITEM-1","itemData":{"DOI":"10.22515/islimus.v1i2.499","abstract":"he emergence of Islamic banking was considered as a response to the desire of Muslim communities to disassociate rom usury (riba based) system. he development of time increasing the diversity of inancial transactions, both in trading and banking business, which has no provisions in the old sources of Islamic jurisprudence. his dangerous phenomenon was the reason for the importance of a Sharia Supervisory Board to ensure all of banking transactions comply with the rules and principles of sharia. his research focused on the role of National Sharia Board and his methodology in fatwa. his research uses analytical descriptive methodology. he limitations of this research were about: how the National Sharia Board played their roles in Indonesia and how the method applied by the National Sharia Board in issuing a fatwa. he research found that: the National Sharia Board in Indonesia has played their roles, especially in developing Islamic inance industry, ensuring inancial and banking transaction comply with the rules and principles of sharia, and providing awareness and guidance to the Muslim communities. he issuing of fatwa on inancial transactions was the authority of the National Sharia Board. he National Sharia Board hold on procedures, speciic steps, and certain agreed methodology in issuing fatwa. Nevertheless, there still some fatwas that caused controversy in the Islamic community","author":[{"dropping-particle":"","family":"Syamsuddīin","given":"</w:instrText>
      </w:r>
      <w:r w:rsidRPr="000D5261">
        <w:rPr>
          <w:rFonts w:ascii="Cambria" w:hAnsi="Cambria" w:cs="Cambria"/>
        </w:rPr>
        <w:instrText>Ḥ</w:instrText>
      </w:r>
      <w:r w:rsidRPr="000D5261">
        <w:rPr>
          <w:rFonts w:ascii="Garamond" w:hAnsi="Garamond"/>
        </w:rPr>
        <w:instrText>atta","non-dropping-particle":"","parse-names":false,"suffix":""},{"dropping-particle":"","family":"Khaliq","given":"'Abdul","non-dropping-particle":"","parse-names":false,"suffix":""},{"dropping-particle":"","family":"Mu'īnudīnillāh","given":"Mu</w:instrText>
      </w:r>
      <w:r w:rsidRPr="000D5261">
        <w:rPr>
          <w:rFonts w:ascii="Cambria" w:hAnsi="Cambria" w:cs="Cambria"/>
        </w:rPr>
        <w:instrText>ḥ</w:instrText>
      </w:r>
      <w:r w:rsidRPr="000D5261">
        <w:rPr>
          <w:rFonts w:ascii="Garamond" w:hAnsi="Garamond"/>
        </w:rPr>
        <w:instrText>ammad","non-dropping-particle":"","parse-names":false,"suffix":""}],"container-title":"Indonesian Journal of Islamic Literature and Muslim Society","id":"ITEM-1","issue":"2","issued":{"date-parts":[["2016"]]},"page":"22","title":"Daur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fī al-Fatwā: dirāsah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naqdiyah","type":"article-journal","volume":"1"},"uris":["http://www.mendeley.com/documents/?uuid=bd2e8bcf-1ff1-4d5d-a8ed-d466c248af6b"]}],"mendeley":{"formattedCitation":"Syamsudd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w:instrText>
      </w:r>
      <w:r w:rsidRPr="000D5261">
        <w:rPr>
          <w:rFonts w:ascii="Garamond" w:hAnsi="Garamond" w:cs="Garamond"/>
        </w:rPr>
        <w:instrText>’</w:instrText>
      </w:r>
      <w:r w:rsidRPr="000D5261">
        <w:rPr>
          <w:rFonts w:ascii="Garamond" w:hAnsi="Garamond"/>
        </w:rPr>
        <w:instrText xml:space="preserve">iyyah </w:instrText>
      </w:r>
      <w:r w:rsidRPr="000D5261">
        <w:rPr>
          <w:rFonts w:ascii="Garamond" w:hAnsi="Garamond" w:cs="Garamond"/>
        </w:rPr>
        <w:instrText>’</w:instrText>
      </w:r>
      <w:r w:rsidRPr="000D5261">
        <w:rPr>
          <w:rFonts w:ascii="Garamond" w:hAnsi="Garamond"/>
        </w:rPr>
        <w:instrText>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","plainTextFormattedCitation":"Syamsudd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Fī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","previouslyFormattedCitation":"Syamsudd</w:instrText>
      </w:r>
      <w:r w:rsidRPr="000D5261">
        <w:rPr>
          <w:rFonts w:ascii="Garamond" w:hAnsi="Garamond" w:cs="Garamond"/>
        </w:rPr>
        <w:instrText>ī</w:instrText>
      </w:r>
      <w:r w:rsidRPr="000D5261">
        <w:rPr>
          <w:rFonts w:ascii="Garamond" w:hAnsi="Garamond"/>
        </w:rPr>
        <w:instrText>in, Khaliq, and Mu</w:instrText>
      </w:r>
      <w:r w:rsidRPr="000D5261">
        <w:rPr>
          <w:rFonts w:ascii="Garamond" w:hAnsi="Garamond" w:cs="Garamond"/>
        </w:rPr>
        <w:instrText>’ī</w:instrText>
      </w:r>
      <w:r w:rsidRPr="000D5261">
        <w:rPr>
          <w:rFonts w:ascii="Garamond" w:hAnsi="Garamond"/>
        </w:rPr>
        <w:instrText>nud</w:instrText>
      </w:r>
      <w:r w:rsidRPr="000D5261">
        <w:rPr>
          <w:rFonts w:ascii="Garamond" w:hAnsi="Garamond" w:cs="Garamond"/>
        </w:rPr>
        <w:instrText>ī</w:instrText>
      </w:r>
      <w:r w:rsidRPr="000D5261">
        <w:rPr>
          <w:rFonts w:ascii="Garamond" w:hAnsi="Garamond"/>
        </w:rPr>
        <w:instrText>nill</w:instrText>
      </w:r>
      <w:r w:rsidRPr="000D5261">
        <w:rPr>
          <w:rFonts w:ascii="Garamond" w:hAnsi="Garamond" w:cs="Garamond"/>
        </w:rPr>
        <w:instrText>ā</w:instrText>
      </w:r>
      <w:r w:rsidRPr="000D5261">
        <w:rPr>
          <w:rFonts w:ascii="Garamond" w:hAnsi="Garamond"/>
        </w:rPr>
        <w:instrText xml:space="preserve">h, </w:instrText>
      </w:r>
      <w:r w:rsidRPr="000D5261">
        <w:rPr>
          <w:rFonts w:ascii="Garamond" w:hAnsi="Garamond" w:cs="Garamond"/>
        </w:rPr>
        <w:instrText>“</w:instrText>
      </w:r>
      <w:r w:rsidRPr="000D5261">
        <w:rPr>
          <w:rFonts w:ascii="Garamond" w:hAnsi="Garamond"/>
        </w:rPr>
        <w:instrText>Daur Haiah Al-Wa</w:instrText>
      </w:r>
      <w:r w:rsidRPr="000D5261">
        <w:rPr>
          <w:rFonts w:ascii="Cambria" w:hAnsi="Cambria" w:cs="Cambria"/>
        </w:rPr>
        <w:instrText>ṭ</w:instrText>
      </w:r>
      <w:r w:rsidRPr="000D5261">
        <w:rPr>
          <w:rFonts w:ascii="Garamond" w:hAnsi="Garamond"/>
        </w:rPr>
        <w:instrText>aniyah F</w:instrText>
      </w:r>
      <w:r w:rsidRPr="000D5261">
        <w:rPr>
          <w:rFonts w:ascii="Garamond" w:hAnsi="Garamond" w:cs="Garamond"/>
        </w:rPr>
        <w:instrText>ī</w:instrText>
      </w:r>
      <w:r w:rsidRPr="000D5261">
        <w:rPr>
          <w:rFonts w:ascii="Garamond" w:hAnsi="Garamond"/>
        </w:rPr>
        <w:instrText xml:space="preserve"> Ar-Riqabah Asy-Syar’iyyah ’ala Ma</w:instrText>
      </w:r>
      <w:r w:rsidRPr="000D5261">
        <w:rPr>
          <w:rFonts w:ascii="Cambria" w:hAnsi="Cambria" w:cs="Cambria"/>
        </w:rPr>
        <w:instrText>ṣ</w:instrText>
      </w:r>
      <w:r w:rsidRPr="000D5261">
        <w:rPr>
          <w:rFonts w:ascii="Garamond" w:hAnsi="Garamond" w:cs="Garamond"/>
        </w:rPr>
        <w:instrText>ā</w:instrText>
      </w:r>
      <w:r w:rsidRPr="000D5261">
        <w:rPr>
          <w:rFonts w:ascii="Garamond" w:hAnsi="Garamond"/>
        </w:rPr>
        <w:instrText>rif Al-Isl</w:instrText>
      </w:r>
      <w:r w:rsidRPr="000D5261">
        <w:rPr>
          <w:rFonts w:ascii="Garamond" w:hAnsi="Garamond" w:cs="Garamond"/>
        </w:rPr>
        <w:instrText>ā</w:instrText>
      </w:r>
      <w:r w:rsidRPr="000D5261">
        <w:rPr>
          <w:rFonts w:ascii="Garamond" w:hAnsi="Garamond"/>
        </w:rPr>
        <w:instrText>miyah F</w:instrText>
      </w:r>
      <w:r w:rsidRPr="000D5261">
        <w:rPr>
          <w:rFonts w:ascii="Garamond" w:hAnsi="Garamond" w:cs="Garamond"/>
        </w:rPr>
        <w:instrText>ī</w:instrText>
      </w:r>
      <w:r w:rsidRPr="000D5261">
        <w:rPr>
          <w:rFonts w:ascii="Garamond" w:hAnsi="Garamond"/>
        </w:rPr>
        <w:instrText xml:space="preserve"> Dirasah Ind</w:instrText>
      </w:r>
      <w:r w:rsidRPr="000D5261">
        <w:rPr>
          <w:rFonts w:ascii="Garamond" w:hAnsi="Garamond" w:cs="Garamond"/>
        </w:rPr>
        <w:instrText>ū</w:instrText>
      </w:r>
      <w:r w:rsidRPr="000D5261">
        <w:rPr>
          <w:rFonts w:ascii="Garamond" w:hAnsi="Garamond"/>
        </w:rPr>
        <w:instrText>nisiya Wa Manhajuh</w:instrText>
      </w:r>
      <w:r w:rsidRPr="000D5261">
        <w:rPr>
          <w:rFonts w:ascii="Garamond" w:hAnsi="Garamond" w:cs="Garamond"/>
        </w:rPr>
        <w:instrText>ā</w:instrText>
      </w:r>
      <w:r w:rsidRPr="000D5261">
        <w:rPr>
          <w:rFonts w:ascii="Garamond" w:hAnsi="Garamond"/>
        </w:rPr>
        <w:instrText xml:space="preserve"> F</w:instrText>
      </w:r>
      <w:r w:rsidRPr="000D5261">
        <w:rPr>
          <w:rFonts w:ascii="Garamond" w:hAnsi="Garamond" w:cs="Garamond"/>
        </w:rPr>
        <w:instrText>ī</w:instrText>
      </w:r>
      <w:r w:rsidRPr="000D5261">
        <w:rPr>
          <w:rFonts w:ascii="Garamond" w:hAnsi="Garamond"/>
        </w:rPr>
        <w:instrText xml:space="preserve"> Al-Fatw</w:instrText>
      </w:r>
      <w:r w:rsidRPr="000D5261">
        <w:rPr>
          <w:rFonts w:ascii="Garamond" w:hAnsi="Garamond" w:cs="Garamond"/>
        </w:rPr>
        <w:instrText>ā</w:instrText>
      </w:r>
      <w:r w:rsidRPr="000D5261">
        <w:rPr>
          <w:rFonts w:ascii="Garamond" w:hAnsi="Garamond"/>
        </w:rPr>
        <w:instrText>: Dir</w:instrText>
      </w:r>
      <w:r w:rsidRPr="000D5261">
        <w:rPr>
          <w:rFonts w:ascii="Garamond" w:hAnsi="Garamond" w:cs="Garamond"/>
        </w:rPr>
        <w:instrText>ā</w:instrText>
      </w:r>
      <w:r w:rsidRPr="000D5261">
        <w:rPr>
          <w:rFonts w:ascii="Garamond" w:hAnsi="Garamond"/>
        </w:rPr>
        <w:instrText>sah Wa</w:instrText>
      </w:r>
      <w:r w:rsidRPr="000D5261">
        <w:rPr>
          <w:rFonts w:ascii="Cambria" w:hAnsi="Cambria" w:cs="Cambria"/>
        </w:rPr>
        <w:instrText>ṣ</w:instrText>
      </w:r>
      <w:r w:rsidRPr="000D5261">
        <w:rPr>
          <w:rFonts w:ascii="Garamond" w:hAnsi="Garamond"/>
        </w:rPr>
        <w:instrText>fiyah Tahl</w:instrText>
      </w:r>
      <w:r w:rsidRPr="000D5261">
        <w:rPr>
          <w:rFonts w:ascii="Garamond" w:hAnsi="Garamond" w:cs="Garamond"/>
        </w:rPr>
        <w:instrText>ī</w:instrText>
      </w:r>
      <w:r w:rsidRPr="000D5261">
        <w:rPr>
          <w:rFonts w:ascii="Garamond" w:hAnsi="Garamond"/>
        </w:rPr>
        <w:instrText>liyah Naqdiyah.</w:instrText>
      </w:r>
      <w:r w:rsidRPr="000D5261">
        <w:rPr>
          <w:rFonts w:ascii="Garamond" w:hAnsi="Garamond" w:cs="Garamond"/>
        </w:rPr>
        <w:instrText>”</w:instrText>
      </w:r>
      <w:r w:rsidRPr="000D5261">
        <w:rPr>
          <w:rFonts w:ascii="Garamond" w:hAnsi="Garamond"/>
        </w:rPr>
        <w:instrTex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Syamsuddīin, Khaliq, and Mu’īnudīnillāh, “Daur Haiah Al-Wa</w:t>
      </w:r>
      <w:r w:rsidRPr="000D5261">
        <w:rPr>
          <w:rFonts w:ascii="Cambria" w:hAnsi="Cambria" w:cs="Cambria"/>
          <w:noProof/>
        </w:rPr>
        <w:t>ṭ</w:t>
      </w:r>
      <w:r w:rsidRPr="000D5261">
        <w:rPr>
          <w:rFonts w:ascii="Garamond" w:hAnsi="Garamond"/>
          <w:noProof/>
        </w:rPr>
        <w:t>aniyah F</w:t>
      </w:r>
      <w:r w:rsidRPr="000D5261">
        <w:rPr>
          <w:rFonts w:ascii="Garamond" w:hAnsi="Garamond" w:cs="Garamond"/>
          <w:noProof/>
        </w:rPr>
        <w:t>ī</w:t>
      </w:r>
      <w:r w:rsidRPr="000D5261">
        <w:rPr>
          <w:rFonts w:ascii="Garamond" w:hAnsi="Garamond"/>
          <w:noProof/>
        </w:rPr>
        <w:t xml:space="preserve"> Ar-Riqabah Asy-Syar</w:t>
      </w:r>
      <w:r w:rsidRPr="000D5261">
        <w:rPr>
          <w:rFonts w:ascii="Garamond" w:hAnsi="Garamond" w:cs="Garamond"/>
          <w:noProof/>
        </w:rPr>
        <w:t>’</w:t>
      </w:r>
      <w:r w:rsidRPr="000D5261">
        <w:rPr>
          <w:rFonts w:ascii="Garamond" w:hAnsi="Garamond"/>
          <w:noProof/>
        </w:rPr>
        <w:t xml:space="preserve">iyyah </w:t>
      </w:r>
      <w:r w:rsidRPr="000D5261">
        <w:rPr>
          <w:rFonts w:ascii="Garamond" w:hAnsi="Garamond" w:cs="Garamond"/>
          <w:noProof/>
        </w:rPr>
        <w:t>’</w:t>
      </w:r>
      <w:r w:rsidRPr="000D5261">
        <w:rPr>
          <w:rFonts w:ascii="Garamond" w:hAnsi="Garamond"/>
          <w:noProof/>
        </w:rPr>
        <w:t>ala Ma</w:t>
      </w:r>
      <w:r w:rsidRPr="000D5261">
        <w:rPr>
          <w:rFonts w:ascii="Cambria" w:hAnsi="Cambria" w:cs="Cambria"/>
          <w:noProof/>
        </w:rPr>
        <w:t>ṣ</w:t>
      </w:r>
      <w:r w:rsidRPr="000D5261">
        <w:rPr>
          <w:rFonts w:ascii="Garamond" w:hAnsi="Garamond" w:cs="Garamond"/>
          <w:noProof/>
        </w:rPr>
        <w:t>ā</w:t>
      </w:r>
      <w:r w:rsidRPr="000D5261">
        <w:rPr>
          <w:rFonts w:ascii="Garamond" w:hAnsi="Garamond"/>
          <w:noProof/>
        </w:rPr>
        <w:t>rif Al-Isl</w:t>
      </w:r>
      <w:r w:rsidRPr="000D5261">
        <w:rPr>
          <w:rFonts w:ascii="Garamond" w:hAnsi="Garamond" w:cs="Garamond"/>
          <w:noProof/>
        </w:rPr>
        <w:t>ā</w:t>
      </w:r>
      <w:r w:rsidRPr="000D5261">
        <w:rPr>
          <w:rFonts w:ascii="Garamond" w:hAnsi="Garamond"/>
          <w:noProof/>
        </w:rPr>
        <w:t>miyah F</w:t>
      </w:r>
      <w:r w:rsidRPr="000D5261">
        <w:rPr>
          <w:rFonts w:ascii="Garamond" w:hAnsi="Garamond" w:cs="Garamond"/>
          <w:noProof/>
        </w:rPr>
        <w:t>ī</w:t>
      </w:r>
      <w:r w:rsidRPr="000D5261">
        <w:rPr>
          <w:rFonts w:ascii="Garamond" w:hAnsi="Garamond"/>
          <w:noProof/>
        </w:rPr>
        <w:t xml:space="preserve"> Dirasah Ind</w:t>
      </w:r>
      <w:r w:rsidRPr="000D5261">
        <w:rPr>
          <w:rFonts w:ascii="Garamond" w:hAnsi="Garamond" w:cs="Garamond"/>
          <w:noProof/>
        </w:rPr>
        <w:t>ū</w:t>
      </w:r>
      <w:r w:rsidRPr="000D5261">
        <w:rPr>
          <w:rFonts w:ascii="Garamond" w:hAnsi="Garamond"/>
          <w:noProof/>
        </w:rPr>
        <w:t>nisiya Wa Manhajuh</w:t>
      </w:r>
      <w:r w:rsidRPr="000D5261">
        <w:rPr>
          <w:rFonts w:ascii="Garamond" w:hAnsi="Garamond" w:cs="Garamond"/>
          <w:noProof/>
        </w:rPr>
        <w:t>ā</w:t>
      </w:r>
      <w:r w:rsidRPr="000D5261">
        <w:rPr>
          <w:rFonts w:ascii="Garamond" w:hAnsi="Garamond"/>
          <w:noProof/>
        </w:rPr>
        <w:t xml:space="preserve"> F</w:t>
      </w:r>
      <w:r w:rsidRPr="000D5261">
        <w:rPr>
          <w:rFonts w:ascii="Garamond" w:hAnsi="Garamond" w:cs="Garamond"/>
          <w:noProof/>
        </w:rPr>
        <w:t>ī</w:t>
      </w:r>
      <w:r w:rsidRPr="000D5261">
        <w:rPr>
          <w:rFonts w:ascii="Garamond" w:hAnsi="Garamond"/>
          <w:noProof/>
        </w:rPr>
        <w:t xml:space="preserve"> Al-Fatw</w:t>
      </w:r>
      <w:r w:rsidRPr="000D5261">
        <w:rPr>
          <w:rFonts w:ascii="Garamond" w:hAnsi="Garamond" w:cs="Garamond"/>
          <w:noProof/>
        </w:rPr>
        <w:t>ā</w:t>
      </w:r>
      <w:r w:rsidRPr="000D5261">
        <w:rPr>
          <w:rFonts w:ascii="Garamond" w:hAnsi="Garamond"/>
          <w:noProof/>
        </w:rPr>
        <w:t>: Dir</w:t>
      </w:r>
      <w:r w:rsidRPr="000D5261">
        <w:rPr>
          <w:rFonts w:ascii="Garamond" w:hAnsi="Garamond" w:cs="Garamond"/>
          <w:noProof/>
        </w:rPr>
        <w:t>ā</w:t>
      </w:r>
      <w:r w:rsidRPr="000D5261">
        <w:rPr>
          <w:rFonts w:ascii="Garamond" w:hAnsi="Garamond"/>
          <w:noProof/>
        </w:rPr>
        <w:t>sah Wa</w:t>
      </w:r>
      <w:r w:rsidRPr="000D5261">
        <w:rPr>
          <w:rFonts w:ascii="Cambria" w:hAnsi="Cambria" w:cs="Cambria"/>
          <w:noProof/>
        </w:rPr>
        <w:t>ṣ</w:t>
      </w:r>
      <w:r w:rsidRPr="000D5261">
        <w:rPr>
          <w:rFonts w:ascii="Garamond" w:hAnsi="Garamond"/>
          <w:noProof/>
        </w:rPr>
        <w:t>fiyah Tahl</w:t>
      </w:r>
      <w:r w:rsidRPr="000D5261">
        <w:rPr>
          <w:rFonts w:ascii="Garamond" w:hAnsi="Garamond" w:cs="Garamond"/>
          <w:noProof/>
        </w:rPr>
        <w:t>ī</w:t>
      </w:r>
      <w:r w:rsidRPr="000D5261">
        <w:rPr>
          <w:rFonts w:ascii="Garamond" w:hAnsi="Garamond"/>
          <w:noProof/>
        </w:rPr>
        <w:t>liyah Naqdiyah.</w:t>
      </w:r>
      <w:r w:rsidRPr="000D5261">
        <w:rPr>
          <w:rFonts w:ascii="Garamond" w:hAnsi="Garamond" w:cs="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46">
    <w:p w:rsidR="00B97014" w:rsidRDefault="00B97014" w:rsidP="004A1695">
      <w:pPr>
        <w:pStyle w:val="EndnoteText"/>
        <w:jc w:val="both"/>
        <w:rPr>
          <w:rFonts w:ascii="Garamond" w:hAnsi="Garamond"/>
          <w:lang w:val="en-US"/>
        </w:rPr>
      </w:pPr>
      <w:r w:rsidRPr="000D5261">
        <w:rPr>
          <w:rStyle w:val="EndnoteReference"/>
          <w:rFonts w:ascii="Garamond" w:hAnsi="Garamond"/>
        </w:rPr>
        <w:endnoteRef/>
      </w:r>
      <w:r w:rsidRPr="000D5261">
        <w:rPr>
          <w:rFonts w:ascii="Garamond" w:hAnsi="Garamond"/>
        </w:rPr>
        <w:t xml:space="preserve"> </w:t>
      </w:r>
      <w:r w:rsidRPr="000D5261">
        <w:rPr>
          <w:rFonts w:ascii="Garamond" w:hAnsi="Garamond"/>
        </w:rPr>
        <w:fldChar w:fldCharType="begin" w:fldLock="1"/>
      </w:r>
      <w:r w:rsidRPr="000D5261">
        <w:rPr>
          <w:rFonts w:ascii="Garamond" w:hAnsi="Garamond"/>
        </w:rPr>
        <w:instrText>ADDIN CSL_CITATION {"citationItems":[{"id":"ITEM-1","itemData":{"URL":"https://dsnmui.or.id/kami/sekilas/","accessed":{"date-parts":[["2021","7","13"]]},"author":[{"dropping-particle":"","family":"Indonesia","given":"Dewan Syariah Nasional – Majelis Ulama","non-dropping-particle":"","parse-names":false,"suffix":""}],"container-title":"https://dsnmui.or.id","id":"ITEM-1","issued":{"date-parts":[["0"]]},"title":"Sekilas tentang DSN-MUI","type":"webpage"},"uris":["http://www.mendeley.com/documents/?uuid=6b19a95b-c945-4815-9af8-086aff9b7002"]}],"mendeley":{"formattedCitation":"Indonesia, “Sekilas Tentang DSN-MUI.”","plainTextFormattedCitation":"Indonesia, “Sekilas Tentang DSN-MUI.”","previouslyFormattedCitation":"Indonesia, “Sekilas Tentang DSN-MUI.”"},"properties":{"noteIndex":0},"schema":"https://github.com/citation-style-language/schema/raw/master/csl-citation.json"}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Indonesia, “Sekilas Tentang DSN-MUI.”</w:t>
      </w:r>
      <w:r w:rsidRPr="000D5261">
        <w:rPr>
          <w:rFonts w:ascii="Garamond" w:hAnsi="Garamond"/>
        </w:rPr>
        <w:fldChar w:fldCharType="end"/>
      </w:r>
    </w:p>
    <w:p w:rsidR="00B97014" w:rsidRPr="00F22878" w:rsidRDefault="00B97014" w:rsidP="004A1695">
      <w:pPr>
        <w:pStyle w:val="EndnoteText"/>
        <w:jc w:val="both"/>
        <w:rPr>
          <w:rFonts w:ascii="Garamond" w:hAnsi="Garamond"/>
          <w:lang w:val="en-US"/>
        </w:rPr>
      </w:pPr>
    </w:p>
  </w:endnote>
  <w:endnote w:id="47">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{"citationItems":[{"id":"ITEM-1","itemData":{"author":[{"dropping-particle":"","family":"MUI","given":"Dewan Syariah Nasional","non-dropping-particle":"","parse-names":false,"suffix":""}],"id":"ITEM-1","issued":{"date-parts":[["2014"]]},"number-of-pages":"956","publisher":"Penerbit Erlangga","publisher-place":"Jakarta","title":"Himpunan fatwa keuangan syariah","type":"book"},"uris":["http://www.mendeley.com/documents/?uuid=1c9cfcac-af4f-4803-9a13-fef9b7bec629"]}],"mendeley":{"formattedCitation":"Dewan Syariah Nasional MUI, &lt;i&gt;Himpunan Fatwa Keuangan Syariah&lt;/i&gt; (Jakarta: Penerbit Erlangga, 2014).","plainTextFormattedCitation":"Dewan Syariah Nasional MUI, Himpunan Fatwa Keuangan Syariah (Jakarta: Penerbit Erlangga, 2014).","previouslyFormattedCitation":"Dewan Syariah Nasional MUI, &lt;i&gt;Himpunan Fatwa Keuangan Syariah&lt;/i&gt; (Jakarta: Penerbit Erlangga, 2014)."},"properties":{"noteIndex":0},"schema":"https://github.com/citation-style-language/schema/raw/master/csl-citation.json"}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Dewan Syariah Nasional MUI, </w:t>
      </w:r>
      <w:r w:rsidRPr="000D5261">
        <w:rPr>
          <w:rFonts w:ascii="Garamond" w:hAnsi="Garamond"/>
          <w:i/>
          <w:noProof/>
        </w:rPr>
        <w:t>Himpunan Fatwa Keuangan Syariah</w:t>
      </w:r>
      <w:r w:rsidRPr="000D5261">
        <w:rPr>
          <w:rFonts w:ascii="Garamond" w:hAnsi="Garamond"/>
          <w:noProof/>
        </w:rPr>
        <w:t xml:space="preserve"> (Jakarta: Penerbit Erlangga, 2014).</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8">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 xml:space="preserve">ADDIN CSL_CITATION {"citationItems":[{"id":"ITEM-1","itemData":{"author":[{"dropping-particle":"","family":"Haidar","given":"Muhammad Aqil","non-dropping-particle":"","parse-names":false,"suffix":""}],"id":"ITEM-1","issued":{"date-parts":[["2021"]]},"number-of-pages":"209","publisher":"Pascasarjana Institut Ilmu Al-Quran (IIQ) Jakarta","title":"Aplikasi kaidah hal al-'Ibrah bi </w:instrText>
      </w:r>
      <w:r w:rsidRPr="000D5261">
        <w:rPr>
          <w:rFonts w:ascii="Cambria" w:hAnsi="Cambria" w:cs="Cambria"/>
        </w:rPr>
        <w:instrText>ṣ</w:instrText>
      </w:r>
      <w:r w:rsidRPr="000D5261">
        <w:rPr>
          <w:rFonts w:ascii="Garamond" w:hAnsi="Garamond"/>
        </w:rPr>
        <w:instrText xml:space="preserve">iyag al-'Uqud aw bi ma'aniha dalam fatwa Dewan Syariah Nasional (DSN) Majelis Ulama Indonesia (MUI)","type":"thesis"},"uris":["http://www.mendeley.com/documents/?uuid=7680789f-fe15-4b95-aeae-7c6cdb65cd54"]}],"mendeley":{"formattedCitation":"Haidar, “Aplikasi Kaidah Hal Al-’Ibrah Bi </w:instrText>
      </w:r>
      <w:r w:rsidRPr="000D5261">
        <w:rPr>
          <w:rFonts w:ascii="Cambria" w:hAnsi="Cambria" w:cs="Cambria"/>
        </w:rPr>
        <w:instrText>Ṣ</w:instrText>
      </w:r>
      <w:r w:rsidRPr="000D5261">
        <w:rPr>
          <w:rFonts w:ascii="Garamond" w:hAnsi="Garamond"/>
        </w:rPr>
        <w:instrText>iyag Al-</w:instrText>
      </w:r>
      <w:r w:rsidRPr="000D5261">
        <w:rPr>
          <w:rFonts w:ascii="Garamond" w:hAnsi="Garamond" w:cs="Garamond"/>
        </w:rPr>
        <w:instrText>’</w:instrText>
      </w:r>
      <w:r w:rsidRPr="000D5261">
        <w:rPr>
          <w:rFonts w:ascii="Garamond" w:hAnsi="Garamond"/>
        </w:rPr>
        <w:instrText>Uqud Aw Bi Ma</w:instrText>
      </w:r>
      <w:r w:rsidRPr="000D5261">
        <w:rPr>
          <w:rFonts w:ascii="Garamond" w:hAnsi="Garamond" w:cs="Garamond"/>
        </w:rPr>
        <w:instrText>’</w:instrText>
      </w:r>
      <w:r w:rsidRPr="000D5261">
        <w:rPr>
          <w:rFonts w:ascii="Garamond" w:hAnsi="Garamond"/>
        </w:rPr>
        <w:instrText xml:space="preserve">aniha Dalam Fatwa Dewan Syariah Nasional (DSN) Majelis Ulama Indonesia (MUI).”","plainTextFormattedCitation":"Haidar, “Aplikasi Kaidah Hal Al-’Ibrah Bi </w:instrText>
      </w:r>
      <w:r w:rsidRPr="000D5261">
        <w:rPr>
          <w:rFonts w:ascii="Cambria" w:hAnsi="Cambria" w:cs="Cambria"/>
        </w:rPr>
        <w:instrText>Ṣ</w:instrText>
      </w:r>
      <w:r w:rsidRPr="000D5261">
        <w:rPr>
          <w:rFonts w:ascii="Garamond" w:hAnsi="Garamond"/>
        </w:rPr>
        <w:instrText>iyag Al-</w:instrText>
      </w:r>
      <w:r w:rsidRPr="000D5261">
        <w:rPr>
          <w:rFonts w:ascii="Garamond" w:hAnsi="Garamond" w:cs="Garamond"/>
        </w:rPr>
        <w:instrText>’</w:instrText>
      </w:r>
      <w:r w:rsidRPr="000D5261">
        <w:rPr>
          <w:rFonts w:ascii="Garamond" w:hAnsi="Garamond"/>
        </w:rPr>
        <w:instrText>Uqud Aw Bi Ma</w:instrText>
      </w:r>
      <w:r w:rsidRPr="000D5261">
        <w:rPr>
          <w:rFonts w:ascii="Garamond" w:hAnsi="Garamond" w:cs="Garamond"/>
        </w:rPr>
        <w:instrText>’</w:instrText>
      </w:r>
      <w:r w:rsidRPr="000D5261">
        <w:rPr>
          <w:rFonts w:ascii="Garamond" w:hAnsi="Garamond"/>
        </w:rPr>
        <w:instrText>aniha Dalam Fatwa Dewan Syariah Nasional (DSN) Majelis Ulama Indonesia (MUI).</w:instrText>
      </w:r>
      <w:r w:rsidRPr="000D5261">
        <w:rPr>
          <w:rFonts w:ascii="Garamond" w:hAnsi="Garamond" w:cs="Garamond"/>
        </w:rPr>
        <w:instrText>”</w:instrText>
      </w:r>
      <w:r w:rsidRPr="000D5261">
        <w:rPr>
          <w:rFonts w:ascii="Garamond" w:hAnsi="Garamond"/>
        </w:rPr>
        <w:instrText xml:space="preserve">","previouslyFormattedCitation":"Haidar, </w:instrText>
      </w:r>
      <w:r w:rsidRPr="000D5261">
        <w:rPr>
          <w:rFonts w:ascii="Garamond" w:hAnsi="Garamond" w:cs="Garamond"/>
        </w:rPr>
        <w:instrText>“</w:instrText>
      </w:r>
      <w:r w:rsidRPr="000D5261">
        <w:rPr>
          <w:rFonts w:ascii="Garamond" w:hAnsi="Garamond"/>
        </w:rPr>
        <w:instrText>Aplikasi Kaidah Hal Al-</w:instrText>
      </w:r>
      <w:r w:rsidRPr="000D5261">
        <w:rPr>
          <w:rFonts w:ascii="Garamond" w:hAnsi="Garamond" w:cs="Garamond"/>
        </w:rPr>
        <w:instrText>’</w:instrText>
      </w:r>
      <w:r w:rsidRPr="000D5261">
        <w:rPr>
          <w:rFonts w:ascii="Garamond" w:hAnsi="Garamond"/>
        </w:rPr>
        <w:instrText xml:space="preserve">Ibrah Bi </w:instrText>
      </w:r>
      <w:r w:rsidRPr="000D5261">
        <w:rPr>
          <w:rFonts w:ascii="Cambria" w:hAnsi="Cambria" w:cs="Cambria"/>
        </w:rPr>
        <w:instrText>Ṣ</w:instrText>
      </w:r>
      <w:r w:rsidRPr="000D5261">
        <w:rPr>
          <w:rFonts w:ascii="Garamond" w:hAnsi="Garamond"/>
        </w:rPr>
        <w:instrText>iyag Al-’Uqud Aw Bi Ma’aniha Dalam Fatwa Dewan Syariah Nasional (DSN) Majelis Ulama Indonesia (MUI).”"},"properties":{"noteIndex":0},"schema":"https://github.com/citation-style-language/schema/raw/master/csl-citation.json"}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Haidar, “Aplikasi Kaidah Hal Al-’Ibrah Bi </w:t>
      </w:r>
      <w:r w:rsidRPr="000D5261">
        <w:rPr>
          <w:rFonts w:ascii="Cambria" w:hAnsi="Cambria" w:cs="Cambria"/>
          <w:noProof/>
        </w:rPr>
        <w:t>Ṣ</w:t>
      </w:r>
      <w:r w:rsidRPr="000D5261">
        <w:rPr>
          <w:rFonts w:ascii="Garamond" w:hAnsi="Garamond"/>
          <w:noProof/>
        </w:rPr>
        <w:t>iyag Al-</w:t>
      </w:r>
      <w:r w:rsidRPr="000D5261">
        <w:rPr>
          <w:rFonts w:ascii="Garamond" w:hAnsi="Garamond" w:cs="Garamond"/>
          <w:noProof/>
        </w:rPr>
        <w:t>’</w:t>
      </w:r>
      <w:r w:rsidRPr="000D5261">
        <w:rPr>
          <w:rFonts w:ascii="Garamond" w:hAnsi="Garamond"/>
          <w:noProof/>
        </w:rPr>
        <w:t>Uqud Aw Bi Ma</w:t>
      </w:r>
      <w:r w:rsidRPr="000D5261">
        <w:rPr>
          <w:rFonts w:ascii="Garamond" w:hAnsi="Garamond" w:cs="Garamond"/>
          <w:noProof/>
        </w:rPr>
        <w:t>’</w:t>
      </w:r>
      <w:r w:rsidRPr="000D5261">
        <w:rPr>
          <w:rFonts w:ascii="Garamond" w:hAnsi="Garamond"/>
          <w:noProof/>
        </w:rPr>
        <w:t>aniha Dalam Fatwa Dewan Syariah Nasional (DSN) Majelis Ulama Indonesia (MUI).</w:t>
      </w:r>
      <w:r w:rsidRPr="000D5261">
        <w:rPr>
          <w:rFonts w:ascii="Garamond" w:hAnsi="Garamond" w:cs="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4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{"citationItems":[{"id":"ITEM-1","itemData":{"author":[{"dropping-particle":"","family":"Haq","given":"Yusdi","non-dropping-particle":"","parse-names":false,"suffix":""}],"id":"ITEM-1","issued":{"date-parts":[["2021"]]},"number-of-pages":"26","publisher":"Pascasarjana Universitas Muhammadiyah Surakarta","title":"Fatāwā al-Haiah asy-Syar'iyyah al-Wa</w:instrText>
      </w:r>
      <w:r w:rsidRPr="000D5261">
        <w:rPr>
          <w:rFonts w:ascii="Cambria" w:hAnsi="Cambria" w:cs="Cambria"/>
        </w:rPr>
        <w:instrText>ṭ</w:instrText>
      </w:r>
      <w:r w:rsidRPr="000D5261">
        <w:rPr>
          <w:rFonts w:ascii="Garamond" w:hAnsi="Garamond"/>
        </w:rPr>
        <w:instrText xml:space="preserve"> aniyyah li Majlis Al-'Ulama Al-Ind</w:instrText>
      </w:r>
      <w:r w:rsidRPr="000D5261">
        <w:rPr>
          <w:rFonts w:ascii="Garamond" w:hAnsi="Garamond" w:cs="Garamond"/>
        </w:rPr>
        <w:instrText>ū</w:instrText>
      </w:r>
      <w:r w:rsidRPr="000D5261">
        <w:rPr>
          <w:rFonts w:ascii="Garamond" w:hAnsi="Garamond"/>
        </w:rPr>
        <w:instrText>nis</w:instrText>
      </w:r>
      <w:r w:rsidRPr="000D5261">
        <w:rPr>
          <w:rFonts w:ascii="Garamond" w:hAnsi="Garamond" w:cs="Garamond"/>
        </w:rPr>
        <w:instrText>ī</w:instrText>
      </w:r>
      <w:r w:rsidRPr="000D5261">
        <w:rPr>
          <w:rFonts w:ascii="Garamond" w:hAnsi="Garamond"/>
        </w:rPr>
        <w:instrText xml:space="preserve"> (dirasah fiqhiyyah muqāranah bi qarārāt Majma' Al-Fiqhi Al-Islāmi Ad-Daul)","type":"thesis"},"uris":["http://www.mendeley.com/documents/?uuid=43f0dd24-5a04-4f0e-8069-233530ff2683"]}],"mendeley":{"formattedCitation":"Yusdi Haq, “Fatāwā Al-Haiah Asy-Syar’iyyah Al-Wa</w:instrText>
      </w:r>
      <w:r w:rsidRPr="000D5261">
        <w:rPr>
          <w:rFonts w:ascii="Cambria" w:hAnsi="Cambria" w:cs="Cambria"/>
        </w:rPr>
        <w:instrText>ṭ</w:instrText>
      </w:r>
      <w:r w:rsidRPr="000D5261">
        <w:rPr>
          <w:rFonts w:ascii="Garamond" w:hAnsi="Garamond"/>
        </w:rPr>
        <w:instrText xml:space="preserve"> Aniyyah Li Majlis Al-’Ulama Al-Indūnisī (Dirasah Fiqhiyyah Muqāranah Bi Qarārāt Majma’ Al-Fiqhi Al-Islāmi Ad-Daul)” (Pascasarjana Universitas Muhammadiyah Surakarta, 2021), http://eprints.ums.ac.id/view/creators/Haq=3AYusdi=3A=3A.html.","plainTextFormattedCitation":"Yusdi Haq, “Fatāwā Al-Haiah Asy-Syar’iyyah Al-Wa</w:instrText>
      </w:r>
      <w:r w:rsidRPr="000D5261">
        <w:rPr>
          <w:rFonts w:ascii="Cambria" w:hAnsi="Cambria" w:cs="Cambria"/>
        </w:rPr>
        <w:instrText>ṭ</w:instrText>
      </w:r>
      <w:r w:rsidRPr="000D5261">
        <w:rPr>
          <w:rFonts w:ascii="Garamond" w:hAnsi="Garamond"/>
        </w:rPr>
        <w:instrText xml:space="preserve"> Aniyyah Li Majlis Al-</w:instrText>
      </w:r>
      <w:r w:rsidRPr="000D5261">
        <w:rPr>
          <w:rFonts w:ascii="Garamond" w:hAnsi="Garamond" w:cs="Garamond"/>
        </w:rPr>
        <w:instrText>’</w:instrText>
      </w:r>
      <w:r w:rsidRPr="000D5261">
        <w:rPr>
          <w:rFonts w:ascii="Garamond" w:hAnsi="Garamond"/>
        </w:rPr>
        <w:instrText>Ulama Al-Ind</w:instrText>
      </w:r>
      <w:r w:rsidRPr="000D5261">
        <w:rPr>
          <w:rFonts w:ascii="Garamond" w:hAnsi="Garamond" w:cs="Garamond"/>
        </w:rPr>
        <w:instrText>ū</w:instrText>
      </w:r>
      <w:r w:rsidRPr="000D5261">
        <w:rPr>
          <w:rFonts w:ascii="Garamond" w:hAnsi="Garamond"/>
        </w:rPr>
        <w:instrText>nis</w:instrText>
      </w:r>
      <w:r w:rsidRPr="000D5261">
        <w:rPr>
          <w:rFonts w:ascii="Garamond" w:hAnsi="Garamond" w:cs="Garamond"/>
        </w:rPr>
        <w:instrText>ī</w:instrText>
      </w:r>
      <w:r w:rsidRPr="000D5261">
        <w:rPr>
          <w:rFonts w:ascii="Garamond" w:hAnsi="Garamond"/>
        </w:rPr>
        <w:instrText xml:space="preserve"> (Dirasah Fiqhiyyah Muq</w:instrText>
      </w:r>
      <w:r w:rsidRPr="000D5261">
        <w:rPr>
          <w:rFonts w:ascii="Garamond" w:hAnsi="Garamond" w:cs="Garamond"/>
        </w:rPr>
        <w:instrText>ā</w:instrText>
      </w:r>
      <w:r w:rsidRPr="000D5261">
        <w:rPr>
          <w:rFonts w:ascii="Garamond" w:hAnsi="Garamond"/>
        </w:rPr>
        <w:instrText>ranah Bi Qar</w:instrText>
      </w:r>
      <w:r w:rsidRPr="000D5261">
        <w:rPr>
          <w:rFonts w:ascii="Garamond" w:hAnsi="Garamond" w:cs="Garamond"/>
        </w:rPr>
        <w:instrText>ā</w:instrText>
      </w:r>
      <w:r w:rsidRPr="000D5261">
        <w:rPr>
          <w:rFonts w:ascii="Garamond" w:hAnsi="Garamond"/>
        </w:rPr>
        <w:instrText>r</w:instrText>
      </w:r>
      <w:r w:rsidRPr="000D5261">
        <w:rPr>
          <w:rFonts w:ascii="Garamond" w:hAnsi="Garamond" w:cs="Garamond"/>
        </w:rPr>
        <w:instrText>ā</w:instrText>
      </w:r>
      <w:r w:rsidRPr="000D5261">
        <w:rPr>
          <w:rFonts w:ascii="Garamond" w:hAnsi="Garamond"/>
        </w:rPr>
        <w:instrText>t Majma</w:instrText>
      </w:r>
      <w:r w:rsidRPr="000D5261">
        <w:rPr>
          <w:rFonts w:ascii="Garamond" w:hAnsi="Garamond" w:cs="Garamond"/>
        </w:rPr>
        <w:instrText>’</w:instrText>
      </w:r>
      <w:r w:rsidRPr="000D5261">
        <w:rPr>
          <w:rFonts w:ascii="Garamond" w:hAnsi="Garamond"/>
        </w:rPr>
        <w:instrText xml:space="preserve"> Al-Fiqhi Al-Isl</w:instrText>
      </w:r>
      <w:r w:rsidRPr="000D5261">
        <w:rPr>
          <w:rFonts w:ascii="Garamond" w:hAnsi="Garamond" w:cs="Garamond"/>
        </w:rPr>
        <w:instrText>ā</w:instrText>
      </w:r>
      <w:r w:rsidRPr="000D5261">
        <w:rPr>
          <w:rFonts w:ascii="Garamond" w:hAnsi="Garamond"/>
        </w:rPr>
        <w:instrText>mi Ad-Daul)</w:instrText>
      </w:r>
      <w:r w:rsidRPr="000D5261">
        <w:rPr>
          <w:rFonts w:ascii="Garamond" w:hAnsi="Garamond" w:cs="Garamond"/>
        </w:rPr>
        <w:instrText>”</w:instrText>
      </w:r>
      <w:r w:rsidRPr="000D5261">
        <w:rPr>
          <w:rFonts w:ascii="Garamond" w:hAnsi="Garamond"/>
        </w:rPr>
        <w:instrText xml:space="preserve"> (Pascasarjana Universitas Muhammadiyah Surakarta, 2021), http://eprints.ums.ac.id/view/creators/Haq=3AYusdi=3A=3A.html.","previouslyFormattedCitation":"Yusdi Haq, “Fatāwā Al-Haiah Asy-Syar’iyyah Al-Wa</w:instrText>
      </w:r>
      <w:r w:rsidRPr="000D5261">
        <w:rPr>
          <w:rFonts w:ascii="Cambria" w:hAnsi="Cambria" w:cs="Cambria"/>
        </w:rPr>
        <w:instrText>ṭ</w:instrText>
      </w:r>
      <w:r w:rsidRPr="000D5261">
        <w:rPr>
          <w:rFonts w:ascii="Garamond" w:hAnsi="Garamond"/>
        </w:rPr>
        <w:instrText xml:space="preserve"> Aniyyah Li Majlis Al-</w:instrText>
      </w:r>
      <w:r w:rsidRPr="000D5261">
        <w:rPr>
          <w:rFonts w:ascii="Garamond" w:hAnsi="Garamond" w:cs="Garamond"/>
        </w:rPr>
        <w:instrText>’</w:instrText>
      </w:r>
      <w:r w:rsidRPr="000D5261">
        <w:rPr>
          <w:rFonts w:ascii="Garamond" w:hAnsi="Garamond"/>
        </w:rPr>
        <w:instrText>Ulama Al-Ind</w:instrText>
      </w:r>
      <w:r w:rsidRPr="000D5261">
        <w:rPr>
          <w:rFonts w:ascii="Garamond" w:hAnsi="Garamond" w:cs="Garamond"/>
        </w:rPr>
        <w:instrText>ū</w:instrText>
      </w:r>
      <w:r w:rsidRPr="000D5261">
        <w:rPr>
          <w:rFonts w:ascii="Garamond" w:hAnsi="Garamond"/>
        </w:rPr>
        <w:instrText>nis</w:instrText>
      </w:r>
      <w:r w:rsidRPr="000D5261">
        <w:rPr>
          <w:rFonts w:ascii="Garamond" w:hAnsi="Garamond" w:cs="Garamond"/>
        </w:rPr>
        <w:instrText>ī</w:instrText>
      </w:r>
      <w:r w:rsidRPr="000D5261">
        <w:rPr>
          <w:rFonts w:ascii="Garamond" w:hAnsi="Garamond"/>
        </w:rPr>
        <w:instrText xml:space="preserve"> (Dirasah Fiqhiyyah Muq</w:instrText>
      </w:r>
      <w:r w:rsidRPr="000D5261">
        <w:rPr>
          <w:rFonts w:ascii="Garamond" w:hAnsi="Garamond" w:cs="Garamond"/>
        </w:rPr>
        <w:instrText>ā</w:instrText>
      </w:r>
      <w:r w:rsidRPr="000D5261">
        <w:rPr>
          <w:rFonts w:ascii="Garamond" w:hAnsi="Garamond"/>
        </w:rPr>
        <w:instrText>ranah Bi Qar</w:instrText>
      </w:r>
      <w:r w:rsidRPr="000D5261">
        <w:rPr>
          <w:rFonts w:ascii="Garamond" w:hAnsi="Garamond" w:cs="Garamond"/>
        </w:rPr>
        <w:instrText>ā</w:instrText>
      </w:r>
      <w:r w:rsidRPr="000D5261">
        <w:rPr>
          <w:rFonts w:ascii="Garamond" w:hAnsi="Garamond"/>
        </w:rPr>
        <w:instrText>r</w:instrText>
      </w:r>
      <w:r w:rsidRPr="000D5261">
        <w:rPr>
          <w:rFonts w:ascii="Garamond" w:hAnsi="Garamond" w:cs="Garamond"/>
        </w:rPr>
        <w:instrText>ā</w:instrText>
      </w:r>
      <w:r w:rsidRPr="000D5261">
        <w:rPr>
          <w:rFonts w:ascii="Garamond" w:hAnsi="Garamond"/>
        </w:rPr>
        <w:instrText>t Majma</w:instrText>
      </w:r>
      <w:r w:rsidRPr="000D5261">
        <w:rPr>
          <w:rFonts w:ascii="Garamond" w:hAnsi="Garamond" w:cs="Garamond"/>
        </w:rPr>
        <w:instrText>’</w:instrText>
      </w:r>
      <w:r w:rsidRPr="000D5261">
        <w:rPr>
          <w:rFonts w:ascii="Garamond" w:hAnsi="Garamond"/>
        </w:rPr>
        <w:instrText xml:space="preserve"> Al-Fiqhi Al-Isl</w:instrText>
      </w:r>
      <w:r w:rsidRPr="000D5261">
        <w:rPr>
          <w:rFonts w:ascii="Garamond" w:hAnsi="Garamond" w:cs="Garamond"/>
        </w:rPr>
        <w:instrText>ā</w:instrText>
      </w:r>
      <w:r w:rsidRPr="000D5261">
        <w:rPr>
          <w:rFonts w:ascii="Garamond" w:hAnsi="Garamond"/>
        </w:rPr>
        <w:instrText>mi Ad-Daul)</w:instrText>
      </w:r>
      <w:r w:rsidRPr="000D5261">
        <w:rPr>
          <w:rFonts w:ascii="Garamond" w:hAnsi="Garamond" w:cs="Garamond"/>
        </w:rPr>
        <w:instrText>”</w:instrText>
      </w:r>
      <w:r w:rsidRPr="000D5261">
        <w:rPr>
          <w:rFonts w:ascii="Garamond" w:hAnsi="Garamond"/>
        </w:rPr>
        <w:instrText xml:space="preserve"> (Pascasarjana Universitas Muhammadiyah Surakarta, 2021), http://eprints.ums.ac.id/view/creators/Haq=3AYusdi=3A=3A.html."},"properties":{"noteIndex":0},"schema":"https://github.com/citation-style-language/schema/raw/master/csl-citation.json"}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Yusdi Haq, “Fatāwā Al-Haiah Asy-Syar’iyyah Al-Wa</w:t>
      </w:r>
      <w:r w:rsidRPr="000D5261">
        <w:rPr>
          <w:rFonts w:ascii="Cambria" w:hAnsi="Cambria" w:cs="Cambria"/>
          <w:noProof/>
        </w:rPr>
        <w:t>ṭ</w:t>
      </w:r>
      <w:r w:rsidRPr="000D5261">
        <w:rPr>
          <w:rFonts w:ascii="Garamond" w:hAnsi="Garamond"/>
          <w:noProof/>
        </w:rPr>
        <w:t xml:space="preserve"> Aniyyah Li Majlis Al-</w:t>
      </w:r>
      <w:r w:rsidRPr="000D5261">
        <w:rPr>
          <w:rFonts w:ascii="Garamond" w:hAnsi="Garamond" w:cs="Garamond"/>
          <w:noProof/>
        </w:rPr>
        <w:t>’</w:t>
      </w:r>
      <w:r w:rsidRPr="000D5261">
        <w:rPr>
          <w:rFonts w:ascii="Garamond" w:hAnsi="Garamond"/>
          <w:noProof/>
        </w:rPr>
        <w:t>Ulama Al-Ind</w:t>
      </w:r>
      <w:r w:rsidRPr="000D5261">
        <w:rPr>
          <w:rFonts w:ascii="Garamond" w:hAnsi="Garamond" w:cs="Garamond"/>
          <w:noProof/>
        </w:rPr>
        <w:t>ū</w:t>
      </w:r>
      <w:r w:rsidRPr="000D5261">
        <w:rPr>
          <w:rFonts w:ascii="Garamond" w:hAnsi="Garamond"/>
          <w:noProof/>
        </w:rPr>
        <w:t>nis</w:t>
      </w:r>
      <w:r w:rsidRPr="000D5261">
        <w:rPr>
          <w:rFonts w:ascii="Garamond" w:hAnsi="Garamond" w:cs="Garamond"/>
          <w:noProof/>
        </w:rPr>
        <w:t>ī</w:t>
      </w:r>
      <w:r w:rsidRPr="000D5261">
        <w:rPr>
          <w:rFonts w:ascii="Garamond" w:hAnsi="Garamond"/>
          <w:noProof/>
        </w:rPr>
        <w:t xml:space="preserve"> (Dirasah Fiqhiyyah Muq</w:t>
      </w:r>
      <w:r w:rsidRPr="000D5261">
        <w:rPr>
          <w:rFonts w:ascii="Garamond" w:hAnsi="Garamond" w:cs="Garamond"/>
          <w:noProof/>
        </w:rPr>
        <w:t>ā</w:t>
      </w:r>
      <w:r w:rsidRPr="000D5261">
        <w:rPr>
          <w:rFonts w:ascii="Garamond" w:hAnsi="Garamond"/>
          <w:noProof/>
        </w:rPr>
        <w:t>ranah Bi Qar</w:t>
      </w:r>
      <w:r w:rsidRPr="000D5261">
        <w:rPr>
          <w:rFonts w:ascii="Garamond" w:hAnsi="Garamond" w:cs="Garamond"/>
          <w:noProof/>
        </w:rPr>
        <w:t>ā</w:t>
      </w:r>
      <w:r w:rsidRPr="000D5261">
        <w:rPr>
          <w:rFonts w:ascii="Garamond" w:hAnsi="Garamond"/>
          <w:noProof/>
        </w:rPr>
        <w:t>r</w:t>
      </w:r>
      <w:r w:rsidRPr="000D5261">
        <w:rPr>
          <w:rFonts w:ascii="Garamond" w:hAnsi="Garamond" w:cs="Garamond"/>
          <w:noProof/>
        </w:rPr>
        <w:t>ā</w:t>
      </w:r>
      <w:r w:rsidRPr="000D5261">
        <w:rPr>
          <w:rFonts w:ascii="Garamond" w:hAnsi="Garamond"/>
          <w:noProof/>
        </w:rPr>
        <w:t>t Majma</w:t>
      </w:r>
      <w:r w:rsidRPr="000D5261">
        <w:rPr>
          <w:rFonts w:ascii="Garamond" w:hAnsi="Garamond" w:cs="Garamond"/>
          <w:noProof/>
        </w:rPr>
        <w:t>’</w:t>
      </w:r>
      <w:r w:rsidRPr="000D5261">
        <w:rPr>
          <w:rFonts w:ascii="Garamond" w:hAnsi="Garamond"/>
          <w:noProof/>
        </w:rPr>
        <w:t xml:space="preserve"> Al-Fiqhi Al-Isl</w:t>
      </w:r>
      <w:r w:rsidRPr="000D5261">
        <w:rPr>
          <w:rFonts w:ascii="Garamond" w:hAnsi="Garamond" w:cs="Garamond"/>
          <w:noProof/>
        </w:rPr>
        <w:t>ā</w:t>
      </w:r>
      <w:r w:rsidRPr="000D5261">
        <w:rPr>
          <w:rFonts w:ascii="Garamond" w:hAnsi="Garamond"/>
          <w:noProof/>
        </w:rPr>
        <w:t>mi Ad-Daul)</w:t>
      </w:r>
      <w:r w:rsidRPr="000D5261">
        <w:rPr>
          <w:rFonts w:ascii="Garamond" w:hAnsi="Garamond" w:cs="Garamond"/>
          <w:noProof/>
        </w:rPr>
        <w:t>”</w:t>
      </w:r>
      <w:r w:rsidRPr="000D5261">
        <w:rPr>
          <w:rFonts w:ascii="Garamond" w:hAnsi="Garamond"/>
          <w:noProof/>
        </w:rPr>
        <w:t xml:space="preserve"> (Pascasarjana Universitas Muhammadiyah Surakarta, 2021), http://eprints.ums.ac.id/view/creators/Haq=3AYusdi=3A=3A.html.</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0">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{"citationItems":[{"id":"ITEM-1","itemData":{"author":[{"dropping-particle":"","family":"Dimyati","given":"Ahmad","non-dropping-particle":"","parse-names":false,"suffix":""}],"id":"ITEM-1","issued":{"date-parts":[["2015"]]},"publisher":"CSIF Sekolah Tinggi Agama Islam Mathali'ul Falah","publisher-place":"Pati","title":"Rekonstruksi metodologi fatwa perbankan syariah","type":"book"},"uris":["http://www.mendeley.com/documents/?uuid=0a5e4c45-12b1-44de-ab8b-6d633813705f"]}],"mendeley":{"formattedCitation":"Ahmad Dimyati, &lt;i&gt;Rekonstruksi Metodologi Fatwa Perbankan Syariah&lt;/i&gt; (Pati: CSIF Sekolah Tinggi Agama Islam Mathali’ul Falah, 2015).","plainTextFormattedCitation":"Ahmad Dimyati, Rekonstruksi Metodologi Fatwa Perbankan Syariah (Pati: CSIF Sekolah Tinggi Agama Islam Mathali’ul Falah, 2015).","previouslyFormattedCitation":"Ahmad Dimyati, &lt;i&gt;Rekonstruksi Metodologi Fatwa Perbankan Syariah&lt;/i&gt; (Pati: CSIF Sekolah Tinggi Agama Islam Mathali’ul Falah, 2015)."},"properties":{"noteIndex":0},"schema":"https://github.com/citation-style-language/schema/raw/master/csl-citation.json"}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Ahmad Dimyati, </w:t>
      </w:r>
      <w:r w:rsidRPr="000D5261">
        <w:rPr>
          <w:rFonts w:ascii="Garamond" w:hAnsi="Garamond"/>
          <w:i/>
          <w:noProof/>
        </w:rPr>
        <w:t>Rekonstruksi Metodologi Fatwa Perbankan Syariah</w:t>
      </w:r>
      <w:r w:rsidRPr="000D5261">
        <w:rPr>
          <w:rFonts w:ascii="Garamond" w:hAnsi="Garamond"/>
          <w:noProof/>
        </w:rPr>
        <w:t xml:space="preserve"> (Pati: CSIF Sekolah Tinggi Agama Islam Mathali’ul Falah, 2015).</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1">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{"citationItems":[{"id":"ITEM-1","itemData":{"DOI":"10.24042/adalah.v16i2.3520","abstract":"This study aims to reveal the position of the fatwa of the National Sharia Council of the Indonesian Ulema Council (DSN-MUI) in the national legal system as well as to learn how it is applied in the Bandar Lampung People's Credit Bank (BPRS) Bandar Lampung. The DSN-MUI fatwa was issued to avoid the different provisions made by the Sharia Supervisory Board (DPS) in each Islamic financial institution. With the DSN MUI fatwa, the provisions for all sharia economic actors will be the same so as to create legal order. This research found that the DSN MUI fatwa was not fully implemented in the activities carried out by the Bank. Where as, in the national legal system, the DSN MUI fatwa is considered as part of positive law and has become a law in concreto for judges and arbitrators in Basyarnas. Therefore it is imperative that all sharia financial institutions to fully implement all the existing provisions, not just in part.","author":[{"dropping-particle":"","family":"Tahmid","given":"Khairuddin","non-dropping-particle":"","parse-names":false,"suffix":""},{"dropping-particle":"","family":"Zaki","given":"Muhammad","non-dropping-particle":"","parse-names":false,"suffix":""},{"dropping-particle":"","family":"H","given":"Haryanto","non-dropping-particle":"","parse-names":false,"suffix":""}],"container-title":"Al-'Adalah","id":"ITEM-1","issue":"2","issued":{"date-parts":[["2019"]]},"page":"263-285","title":"The implementation of DSN-MUI fatwa in handling of sharia economic problems (A case at Bandar Lampung people's Credit Bank [BPRS])","type":"article-journal","volume":"16"},"uris":["http://www.mendeley.com/documents/?uuid=02982e49-ca85-4a06-b0c3-a5928a7bd9c3"]}],"mendeley":{"formattedCitation":"Khairuddin Tahmid, Muhammad Zaki, and Haryanto H, “The Implementation of DSN-MUI Fatwa in Handling of Sharia Economic Problems (A Case at Bandar Lampung People’s Credit Bank [BPRS]),” &lt;i&gt;Al-’Adalah&lt;/i&gt; 16, no. 2 (2019): 263–85, doi:10.24042/adalah.v16i2.3520.","plainTextFormattedCitation":"Khairuddin Tahmid, Muhammad Zaki, and Haryanto H, “The Implementation of DSN-MUI Fatwa in Handling of Sharia Economic Problems (A Case at Bandar Lampung People’s Credit Bank [BPRS]),” Al-’Adalah 16, no. 2 (2019): 263–85, doi:10.24042/adalah.v16i2.3520.","previouslyFormattedCitation":"Khairuddin Tahmid, Muhammad Zaki, and Haryanto H, “The Implementation of DSN-MUI Fatwa in Handling of Sharia Economic Problems (A Case at Bandar Lampung People’s Credit Bank [BPRS]),” &lt;i&gt;Al-’Adalah&lt;/i&gt; 16, no. 2 (2019): 263–85, doi:10.24042/adalah.v16i2.3520."},"properties":{"noteIndex":0},"schema":"https://github.com/citation-style-language/schema/raw/master/csl-citation.json"}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Khairuddin Tahmid, Muhammad Zaki, and Haryanto H, “The Implementation of DSN-MUI Fatwa in Handling of Sharia Economic Problems (A Case at Bandar Lampung People’s Credit Bank [BPRS]),” </w:t>
      </w:r>
      <w:r w:rsidRPr="000D5261">
        <w:rPr>
          <w:rFonts w:ascii="Garamond" w:hAnsi="Garamond"/>
          <w:i/>
          <w:noProof/>
        </w:rPr>
        <w:t>Al-’Adalah</w:t>
      </w:r>
      <w:r w:rsidRPr="000D5261">
        <w:rPr>
          <w:rFonts w:ascii="Garamond" w:hAnsi="Garamond"/>
          <w:noProof/>
        </w:rPr>
        <w:t xml:space="preserve"> 16, no. 2 (2019): 263–85, doi:10.24042/adalah.v16i2.3520.</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{"citationItems":[{"id":"ITEM-1","itemData":{"DOI":"0000-0002-9453-0672","abstract":"The Indonesian Ulema Council (MUI) has an important role in answering the increasingly complex problems of Muslims through fatwas. However, in the Indonesian legal system, fatwas are not considered a source of material law that has legal validity as a solution to the problems of Muslims in Indonesia. Therefore, this study aims to describe the position of fatwas in the legal system in Indonesia and the existence of the fatwas of the Indonesian Ulema Council in addressing the problems of the ummah. This research is a normative legal research using three types of approaches consisting of a statutory approach, a historical approach, and a conceptual approach. The results of this study concluded that: firstly, the position of fatwas in the construction of Islamic law has a high position. Fatwas are seen as a solution that can break the ice in legal development that is not accommodated by the texts of the Quran. So, substantively and sociologically, fatwas have a strong and binding position in Islamic law. Secondly, the existence of the fatwa of the Indonesian Ulema Council in responding to the problems of the Ummah can be seen in two aspects. The first aspect, fatwas in the perspective of Islamic legal authority are binding sociologically in substance. This is because fatwas are explanations and interpreters of the texts of the Quran regarding Islamic law. The second aspect, fatwas from the perspective of the hierarchy of laws and regulations, legally and formally, do not have any position in the ranking of legal norms. However, it is constitutionally guaranteed through Article 29 of the 1945 Constitution that guarantees the realization of the fulfillment of all Islamic law for Muslims in Indonesia.","author":[{"dropping-particle":"","family":"Pelu","given":"Ibnu Elmi Achmat Slamat","non-dropping-particle":"","parse-names":false,"suffix":""}],"container-title":"Al-Manahij: Jurnal Kajian Hukum Islam","id":"ITEM-1","issue":"2","issued":{"date-parts":[["2020"]]},"page":"307-316","title":"Fatwa Majelis Ulama Indonesia sebagai solusi permasalahan umat Islam di Indonesia","type":"article-journal","volume":"14"},"uris":["http://www.mendeley.com/documents/?uuid=96e1de8e-d10e-4770-aa13-839933771b3f"]}],"mendeley":{"formattedCitation":"Pelu, “Fatwa Majelis Ulama Indonesia Sebagai Solusi Permasalahan Umat Islam Di Indonesia.”","plainTextFormattedCitation":"Pelu, “Fatwa Majelis Ulama Indonesia Sebagai Solusi Permasalahan Umat Islam Di Indonesia.”","previouslyFormattedCitation":"Pelu, “Fatwa Majelis Ulama Indonesia Sebagai Solusi Permasalahan Umat Islam Di Indonesia.”"},"properties":{"noteIndex":0},"schema":"https://github.com/citation-style-language/schema/raw/master/csl-citation.json"}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Pelu, “Fatwa Majelis Ulama Indonesia Sebagai Solusi Permasalahan Umat Islam Di Indonesia.”</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3">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{"citationItems":[{"id":"ITEM-1","itemData":{"author":[{"dropping-particle":"","family":"Haq","given":"Yusdi","non-dropping-particle":"","parse-names":false,"suffix":""}],"id":"ITEM-1","issued":{"date-parts":[["2021"]]},"number-of-pages":"26","publisher":"Pascasarjana Universitas Muhammadiyah Surakarta","title":"Fatāwā al-Haiah asy-Syar'iyyah al-Wa</w:instrText>
      </w:r>
      <w:r w:rsidRPr="000D5261">
        <w:rPr>
          <w:rFonts w:ascii="Cambria" w:hAnsi="Cambria" w:cs="Cambria"/>
        </w:rPr>
        <w:instrText>ṭ</w:instrText>
      </w:r>
      <w:r w:rsidRPr="000D5261">
        <w:rPr>
          <w:rFonts w:ascii="Garamond" w:hAnsi="Garamond"/>
        </w:rPr>
        <w:instrText xml:space="preserve"> aniyyah li Majlis Al-'Ulama Al-Indūnisī (dirasah fiqhiyyah muqāranah bi qarārāt Majma' Al-Fiqhi Al-Islāmi Ad-Daul)","type":"thesis"},"uris":["http://www.mendeley.com/documents/?uuid=43f0dd24-5a04-4f0e-8069-233530ff2683"]}],"mendeley":{"formattedCitation":"Haq, “Fatāwā Al-Haiah Asy-Syar’iyyah Al-Wa</w:instrText>
      </w:r>
      <w:r w:rsidRPr="000D5261">
        <w:rPr>
          <w:rFonts w:ascii="Cambria" w:hAnsi="Cambria" w:cs="Cambria"/>
        </w:rPr>
        <w:instrText>ṭ</w:instrText>
      </w:r>
      <w:r w:rsidRPr="000D5261">
        <w:rPr>
          <w:rFonts w:ascii="Garamond" w:hAnsi="Garamond"/>
        </w:rPr>
        <w:instrText xml:space="preserve"> Aniyyah Li Majlis Al-</w:instrText>
      </w:r>
      <w:r w:rsidRPr="000D5261">
        <w:rPr>
          <w:rFonts w:ascii="Garamond" w:hAnsi="Garamond" w:cs="Garamond"/>
        </w:rPr>
        <w:instrText>’</w:instrText>
      </w:r>
      <w:r w:rsidRPr="000D5261">
        <w:rPr>
          <w:rFonts w:ascii="Garamond" w:hAnsi="Garamond"/>
        </w:rPr>
        <w:instrText>Ulama Al-Ind</w:instrText>
      </w:r>
      <w:r w:rsidRPr="000D5261">
        <w:rPr>
          <w:rFonts w:ascii="Garamond" w:hAnsi="Garamond" w:cs="Garamond"/>
        </w:rPr>
        <w:instrText>ū</w:instrText>
      </w:r>
      <w:r w:rsidRPr="000D5261">
        <w:rPr>
          <w:rFonts w:ascii="Garamond" w:hAnsi="Garamond"/>
        </w:rPr>
        <w:instrText>nis</w:instrText>
      </w:r>
      <w:r w:rsidRPr="000D5261">
        <w:rPr>
          <w:rFonts w:ascii="Garamond" w:hAnsi="Garamond" w:cs="Garamond"/>
        </w:rPr>
        <w:instrText>ī</w:instrText>
      </w:r>
      <w:r w:rsidRPr="000D5261">
        <w:rPr>
          <w:rFonts w:ascii="Garamond" w:hAnsi="Garamond"/>
        </w:rPr>
        <w:instrText xml:space="preserve"> (Dirasah Fiqhiyyah Muq</w:instrText>
      </w:r>
      <w:r w:rsidRPr="000D5261">
        <w:rPr>
          <w:rFonts w:ascii="Garamond" w:hAnsi="Garamond" w:cs="Garamond"/>
        </w:rPr>
        <w:instrText>ā</w:instrText>
      </w:r>
      <w:r w:rsidRPr="000D5261">
        <w:rPr>
          <w:rFonts w:ascii="Garamond" w:hAnsi="Garamond"/>
        </w:rPr>
        <w:instrText>ranah Bi Qar</w:instrText>
      </w:r>
      <w:r w:rsidRPr="000D5261">
        <w:rPr>
          <w:rFonts w:ascii="Garamond" w:hAnsi="Garamond" w:cs="Garamond"/>
        </w:rPr>
        <w:instrText>ā</w:instrText>
      </w:r>
      <w:r w:rsidRPr="000D5261">
        <w:rPr>
          <w:rFonts w:ascii="Garamond" w:hAnsi="Garamond"/>
        </w:rPr>
        <w:instrText>r</w:instrText>
      </w:r>
      <w:r w:rsidRPr="000D5261">
        <w:rPr>
          <w:rFonts w:ascii="Garamond" w:hAnsi="Garamond" w:cs="Garamond"/>
        </w:rPr>
        <w:instrText>ā</w:instrText>
      </w:r>
      <w:r w:rsidRPr="000D5261">
        <w:rPr>
          <w:rFonts w:ascii="Garamond" w:hAnsi="Garamond"/>
        </w:rPr>
        <w:instrText>t Majma</w:instrText>
      </w:r>
      <w:r w:rsidRPr="000D5261">
        <w:rPr>
          <w:rFonts w:ascii="Garamond" w:hAnsi="Garamond" w:cs="Garamond"/>
        </w:rPr>
        <w:instrText>’</w:instrText>
      </w:r>
      <w:r w:rsidRPr="000D5261">
        <w:rPr>
          <w:rFonts w:ascii="Garamond" w:hAnsi="Garamond"/>
        </w:rPr>
        <w:instrText xml:space="preserve"> Al-Fiqhi Al-Isl</w:instrText>
      </w:r>
      <w:r w:rsidRPr="000D5261">
        <w:rPr>
          <w:rFonts w:ascii="Garamond" w:hAnsi="Garamond" w:cs="Garamond"/>
        </w:rPr>
        <w:instrText>ā</w:instrText>
      </w:r>
      <w:r w:rsidRPr="000D5261">
        <w:rPr>
          <w:rFonts w:ascii="Garamond" w:hAnsi="Garamond"/>
        </w:rPr>
        <w:instrText>mi Ad-Daul).</w:instrText>
      </w:r>
      <w:r w:rsidRPr="000D5261">
        <w:rPr>
          <w:rFonts w:ascii="Garamond" w:hAnsi="Garamond" w:cs="Garamond"/>
        </w:rPr>
        <w:instrText>”</w:instrText>
      </w:r>
      <w:r w:rsidRPr="000D5261">
        <w:rPr>
          <w:rFonts w:ascii="Garamond" w:hAnsi="Garamond"/>
        </w:rPr>
        <w:instrText xml:space="preserve">","plainTextFormattedCitation":"Haq, </w:instrText>
      </w:r>
      <w:r w:rsidRPr="000D5261">
        <w:rPr>
          <w:rFonts w:ascii="Garamond" w:hAnsi="Garamond" w:cs="Garamond"/>
        </w:rPr>
        <w:instrText>“</w:instrText>
      </w:r>
      <w:r w:rsidRPr="000D5261">
        <w:rPr>
          <w:rFonts w:ascii="Garamond" w:hAnsi="Garamond"/>
        </w:rPr>
        <w:instrText>Fat</w:instrText>
      </w:r>
      <w:r w:rsidRPr="000D5261">
        <w:rPr>
          <w:rFonts w:ascii="Garamond" w:hAnsi="Garamond" w:cs="Garamond"/>
        </w:rPr>
        <w:instrText>ā</w:instrText>
      </w:r>
      <w:r w:rsidRPr="000D5261">
        <w:rPr>
          <w:rFonts w:ascii="Garamond" w:hAnsi="Garamond"/>
        </w:rPr>
        <w:instrText>w</w:instrText>
      </w:r>
      <w:r w:rsidRPr="000D5261">
        <w:rPr>
          <w:rFonts w:ascii="Garamond" w:hAnsi="Garamond" w:cs="Garamond"/>
        </w:rPr>
        <w:instrText>ā</w:instrText>
      </w:r>
      <w:r w:rsidRPr="000D5261">
        <w:rPr>
          <w:rFonts w:ascii="Garamond" w:hAnsi="Garamond"/>
        </w:rPr>
        <w:instrText xml:space="preserve"> Al-Haiah Asy-Syar</w:instrText>
      </w:r>
      <w:r w:rsidRPr="000D5261">
        <w:rPr>
          <w:rFonts w:ascii="Garamond" w:hAnsi="Garamond" w:cs="Garamond"/>
        </w:rPr>
        <w:instrText>’</w:instrText>
      </w:r>
      <w:r w:rsidRPr="000D5261">
        <w:rPr>
          <w:rFonts w:ascii="Garamond" w:hAnsi="Garamond"/>
        </w:rPr>
        <w:instrText>iyyah Al-Wa</w:instrText>
      </w:r>
      <w:r w:rsidRPr="000D5261">
        <w:rPr>
          <w:rFonts w:ascii="Cambria" w:hAnsi="Cambria" w:cs="Cambria"/>
        </w:rPr>
        <w:instrText>ṭ</w:instrText>
      </w:r>
      <w:r w:rsidRPr="000D5261">
        <w:rPr>
          <w:rFonts w:ascii="Garamond" w:hAnsi="Garamond"/>
        </w:rPr>
        <w:instrText xml:space="preserve"> Aniyyah Li Majlis Al-</w:instrText>
      </w:r>
      <w:r w:rsidRPr="000D5261">
        <w:rPr>
          <w:rFonts w:ascii="Garamond" w:hAnsi="Garamond" w:cs="Garamond"/>
        </w:rPr>
        <w:instrText>’</w:instrText>
      </w:r>
      <w:r w:rsidRPr="000D5261">
        <w:rPr>
          <w:rFonts w:ascii="Garamond" w:hAnsi="Garamond"/>
        </w:rPr>
        <w:instrText>Ulama Al-Indūnisī (Dirasah Fiqhiyyah Muqāranah Bi Qarārāt Majma’ Al-Fiqhi Al-Islāmi Ad-Daul).”","previouslyFormattedCitation":"Haq, “Fatāwā Al-Haiah Asy-Syar’iyyah Al-Wa</w:instrText>
      </w:r>
      <w:r w:rsidRPr="000D5261">
        <w:rPr>
          <w:rFonts w:ascii="Cambria" w:hAnsi="Cambria" w:cs="Cambria"/>
        </w:rPr>
        <w:instrText>ṭ</w:instrText>
      </w:r>
      <w:r w:rsidRPr="000D5261">
        <w:rPr>
          <w:rFonts w:ascii="Garamond" w:hAnsi="Garamond"/>
        </w:rPr>
        <w:instrText xml:space="preserve"> Aniyyah Li Majlis Al-</w:instrText>
      </w:r>
      <w:r w:rsidRPr="000D5261">
        <w:rPr>
          <w:rFonts w:ascii="Garamond" w:hAnsi="Garamond" w:cs="Garamond"/>
        </w:rPr>
        <w:instrText>’</w:instrText>
      </w:r>
      <w:r w:rsidRPr="000D5261">
        <w:rPr>
          <w:rFonts w:ascii="Garamond" w:hAnsi="Garamond"/>
        </w:rPr>
        <w:instrText>Ulama Al-Ind</w:instrText>
      </w:r>
      <w:r w:rsidRPr="000D5261">
        <w:rPr>
          <w:rFonts w:ascii="Garamond" w:hAnsi="Garamond" w:cs="Garamond"/>
        </w:rPr>
        <w:instrText>ū</w:instrText>
      </w:r>
      <w:r w:rsidRPr="000D5261">
        <w:rPr>
          <w:rFonts w:ascii="Garamond" w:hAnsi="Garamond"/>
        </w:rPr>
        <w:instrText>nis</w:instrText>
      </w:r>
      <w:r w:rsidRPr="000D5261">
        <w:rPr>
          <w:rFonts w:ascii="Garamond" w:hAnsi="Garamond" w:cs="Garamond"/>
        </w:rPr>
        <w:instrText>ī</w:instrText>
      </w:r>
      <w:r w:rsidRPr="000D5261">
        <w:rPr>
          <w:rFonts w:ascii="Garamond" w:hAnsi="Garamond"/>
        </w:rPr>
        <w:instrText xml:space="preserve"> (Dirasah Fiqhiyyah Muq</w:instrText>
      </w:r>
      <w:r w:rsidRPr="000D5261">
        <w:rPr>
          <w:rFonts w:ascii="Garamond" w:hAnsi="Garamond" w:cs="Garamond"/>
        </w:rPr>
        <w:instrText>ā</w:instrText>
      </w:r>
      <w:r w:rsidRPr="000D5261">
        <w:rPr>
          <w:rFonts w:ascii="Garamond" w:hAnsi="Garamond"/>
        </w:rPr>
        <w:instrText>ranah Bi Qar</w:instrText>
      </w:r>
      <w:r w:rsidRPr="000D5261">
        <w:rPr>
          <w:rFonts w:ascii="Garamond" w:hAnsi="Garamond" w:cs="Garamond"/>
        </w:rPr>
        <w:instrText>ā</w:instrText>
      </w:r>
      <w:r w:rsidRPr="000D5261">
        <w:rPr>
          <w:rFonts w:ascii="Garamond" w:hAnsi="Garamond"/>
        </w:rPr>
        <w:instrText>r</w:instrText>
      </w:r>
      <w:r w:rsidRPr="000D5261">
        <w:rPr>
          <w:rFonts w:ascii="Garamond" w:hAnsi="Garamond" w:cs="Garamond"/>
        </w:rPr>
        <w:instrText>ā</w:instrText>
      </w:r>
      <w:r w:rsidRPr="000D5261">
        <w:rPr>
          <w:rFonts w:ascii="Garamond" w:hAnsi="Garamond"/>
        </w:rPr>
        <w:instrText>t Majma</w:instrText>
      </w:r>
      <w:r w:rsidRPr="000D5261">
        <w:rPr>
          <w:rFonts w:ascii="Garamond" w:hAnsi="Garamond" w:cs="Garamond"/>
        </w:rPr>
        <w:instrText>’</w:instrText>
      </w:r>
      <w:r w:rsidRPr="000D5261">
        <w:rPr>
          <w:rFonts w:ascii="Garamond" w:hAnsi="Garamond"/>
        </w:rPr>
        <w:instrText xml:space="preserve"> Al-Fiqhi Al-Islāmi Ad-Daul).”"},"properties":{"noteIndex":0},"schema":"https://github.com/citation-style-language/schema/raw/master/csl-citation.json"}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Haq, “Fatāwā Al-Haiah Asy-Syar’iyyah Al-Wa</w:t>
      </w:r>
      <w:r w:rsidRPr="000D5261">
        <w:rPr>
          <w:rFonts w:ascii="Cambria" w:hAnsi="Cambria" w:cs="Cambria"/>
          <w:noProof/>
        </w:rPr>
        <w:t>ṭ</w:t>
      </w:r>
      <w:r w:rsidRPr="000D5261">
        <w:rPr>
          <w:rFonts w:ascii="Garamond" w:hAnsi="Garamond"/>
          <w:noProof/>
        </w:rPr>
        <w:t xml:space="preserve"> Aniyyah Li Majlis Al-</w:t>
      </w:r>
      <w:r w:rsidRPr="000D5261">
        <w:rPr>
          <w:rFonts w:ascii="Garamond" w:hAnsi="Garamond" w:cs="Garamond"/>
          <w:noProof/>
        </w:rPr>
        <w:t>’</w:t>
      </w:r>
      <w:r w:rsidRPr="000D5261">
        <w:rPr>
          <w:rFonts w:ascii="Garamond" w:hAnsi="Garamond"/>
          <w:noProof/>
        </w:rPr>
        <w:t>Ulama Al-Ind</w:t>
      </w:r>
      <w:r w:rsidRPr="000D5261">
        <w:rPr>
          <w:rFonts w:ascii="Garamond" w:hAnsi="Garamond" w:cs="Garamond"/>
          <w:noProof/>
        </w:rPr>
        <w:t>ū</w:t>
      </w:r>
      <w:r w:rsidRPr="000D5261">
        <w:rPr>
          <w:rFonts w:ascii="Garamond" w:hAnsi="Garamond"/>
          <w:noProof/>
        </w:rPr>
        <w:t>nis</w:t>
      </w:r>
      <w:r w:rsidRPr="000D5261">
        <w:rPr>
          <w:rFonts w:ascii="Garamond" w:hAnsi="Garamond" w:cs="Garamond"/>
          <w:noProof/>
        </w:rPr>
        <w:t>ī</w:t>
      </w:r>
      <w:r w:rsidRPr="000D5261">
        <w:rPr>
          <w:rFonts w:ascii="Garamond" w:hAnsi="Garamond"/>
          <w:noProof/>
        </w:rPr>
        <w:t xml:space="preserve"> (Dirasah Fiqhiyyah Muq</w:t>
      </w:r>
      <w:r w:rsidRPr="000D5261">
        <w:rPr>
          <w:rFonts w:ascii="Garamond" w:hAnsi="Garamond" w:cs="Garamond"/>
          <w:noProof/>
        </w:rPr>
        <w:t>ā</w:t>
      </w:r>
      <w:r w:rsidRPr="000D5261">
        <w:rPr>
          <w:rFonts w:ascii="Garamond" w:hAnsi="Garamond"/>
          <w:noProof/>
        </w:rPr>
        <w:t>ranah Bi Qar</w:t>
      </w:r>
      <w:r w:rsidRPr="000D5261">
        <w:rPr>
          <w:rFonts w:ascii="Garamond" w:hAnsi="Garamond" w:cs="Garamond"/>
          <w:noProof/>
        </w:rPr>
        <w:t>ā</w:t>
      </w:r>
      <w:r w:rsidRPr="000D5261">
        <w:rPr>
          <w:rFonts w:ascii="Garamond" w:hAnsi="Garamond"/>
          <w:noProof/>
        </w:rPr>
        <w:t>r</w:t>
      </w:r>
      <w:r w:rsidRPr="000D5261">
        <w:rPr>
          <w:rFonts w:ascii="Garamond" w:hAnsi="Garamond" w:cs="Garamond"/>
          <w:noProof/>
        </w:rPr>
        <w:t>ā</w:t>
      </w:r>
      <w:r w:rsidRPr="000D5261">
        <w:rPr>
          <w:rFonts w:ascii="Garamond" w:hAnsi="Garamond"/>
          <w:noProof/>
        </w:rPr>
        <w:t>t Majma</w:t>
      </w:r>
      <w:r w:rsidRPr="000D5261">
        <w:rPr>
          <w:rFonts w:ascii="Garamond" w:hAnsi="Garamond" w:cs="Garamond"/>
          <w:noProof/>
        </w:rPr>
        <w:t>’</w:t>
      </w:r>
      <w:r w:rsidRPr="000D5261">
        <w:rPr>
          <w:rFonts w:ascii="Garamond" w:hAnsi="Garamond"/>
          <w:noProof/>
        </w:rPr>
        <w:t xml:space="preserve"> Al-Fiqhi Al-Isl</w:t>
      </w:r>
      <w:r w:rsidRPr="000D5261">
        <w:rPr>
          <w:rFonts w:ascii="Garamond" w:hAnsi="Garamond" w:cs="Garamond"/>
          <w:noProof/>
        </w:rPr>
        <w:t>ā</w:t>
      </w:r>
      <w:r w:rsidRPr="000D5261">
        <w:rPr>
          <w:rFonts w:ascii="Garamond" w:hAnsi="Garamond"/>
          <w:noProof/>
        </w:rPr>
        <w:t>mi Ad-Daul).</w:t>
      </w:r>
      <w:r w:rsidRPr="000D5261">
        <w:rPr>
          <w:rFonts w:ascii="Garamond" w:hAnsi="Garamond" w:cs="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{"citationItems":[{"id":"ITEM-1","itemData":{"DOI":"10.24090/mnh.v15i2.4641","abstract":"Risk management at Islamic financial institutions is still implementing bank Indonesia (BI) and Financial Services Authority (OJK) policies which previously applied the same to conventional financial institutions. The perfection of the enforcement of sharia principles in sharia financing institutions is not enough only in the aspect of transactional mechanisms, it needs to be supported by a sharia-based risk management system. The focus of this research includes the characteristics of Islamic financing, juridical aspects in the principle of prudence, and an overview of the maslahah of the urgency of sharia-based risk management. This research is normative legal research using a statutory approach and a benefits approach with a qualitative descriptive analysis. The results of the discussion show that a dynamic system also needs to be supported by juridical aspects to provide the legal force with the realization of regulatory solidity. At this regulatory level, in addition to the regulations issued by the OJK, the DSN-MUI fatwa is also very necessary and has a very urgent position. Because financing risk management is also part of the sharia economy that must maintain sharia principles, lest the application of sharia principles only exists in product technicalities, but does not apply to technical risk management. The expected sharia is the application of total sharia principles (kaffah), not partial ones.","author":[{"dropping-particle":"","family":"Hidayati","given":"Tri","non-dropping-particle":"","parse-names":false,"suffix":""}],"container-title":"Al-Manahij: Jurnal Kajian Hukum Islam","id":"ITEM-1","issue":"2","issued":{"date-parts":[["2021"]]},"page":"201-220","title":"Urgensi fatwa DSN-MUI mengenai manajemen risiko pembiayaan berbasis syariah","type":"article-journal","volume":"15"},"uris":["http://www.mendeley.com/documents/?uuid=b3531fc7-0b5e-418a-9ed4-dcc2601817e6"]}],"mendeley":{"formattedCitation":"Hidayati, “Urgensi Fatwa DSN-MUI Mengenai Manajemen Risiko Pembiayaan Berbasis Syariah.”","plainTextFormattedCitation":"Hidayati, “Urgensi Fatwa DSN-MUI Mengenai Manajemen Risiko Pembiayaan Berbasis Syariah.”","previouslyFormattedCitation":"Hidayati, “Urgensi Fatwa DSN-MUI Mengenai Manajemen Risiko Pembiayaan Berbasis Syariah.”"},"properties":{"noteIndex":0},"schema":"https://github.com/citation-style-language/schema/raw/master/csl-citation.json"}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Hidayati, “Urgensi Fatwa DSN-MUI Mengenai Manajemen Risiko Pembiayaan Berbasis Syariah.”</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5">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","given":"Ibr</w:instrText>
      </w:r>
      <w:r w:rsidRPr="000D5261">
        <w:rPr>
          <w:rFonts w:ascii="Garamond" w:hAnsi="Garamond" w:cs="Garamond"/>
        </w:rPr>
        <w:instrText>ā</w:instrText>
      </w:r>
      <w:r w:rsidRPr="000D5261">
        <w:rPr>
          <w:rFonts w:ascii="Garamond" w:hAnsi="Garamond"/>
        </w:rPr>
        <w:instrText>h</w:instrText>
      </w:r>
      <w:r w:rsidRPr="000D5261">
        <w:rPr>
          <w:rFonts w:ascii="Garamond" w:hAnsi="Garamond" w:cs="Garamond"/>
        </w:rPr>
        <w:instrText>ī</w:instrText>
      </w:r>
      <w:r w:rsidRPr="000D5261">
        <w:rPr>
          <w:rFonts w:ascii="Garamond" w:hAnsi="Garamond"/>
        </w:rPr>
        <w:instrText>m bin M</w:instrText>
      </w:r>
      <w:r w:rsidRPr="000D5261">
        <w:rPr>
          <w:rFonts w:ascii="Garamond" w:hAnsi="Garamond" w:cs="Garamond"/>
        </w:rPr>
        <w:instrText>ū</w:instrText>
      </w:r>
      <w:r w:rsidRPr="000D5261">
        <w:rPr>
          <w:rFonts w:ascii="Garamond" w:hAnsi="Garamond"/>
        </w:rPr>
        <w:instrText>s</w:instrText>
      </w:r>
      <w:r w:rsidRPr="000D5261">
        <w:rPr>
          <w:rFonts w:ascii="Garamond" w:hAnsi="Garamond" w:cs="Garamond"/>
        </w:rPr>
        <w:instrText>ā</w:instrText>
      </w:r>
      <w:r w:rsidRPr="000D5261">
        <w:rPr>
          <w:rFonts w:ascii="Garamond" w:hAnsi="Garamond"/>
        </w:rPr>
        <w:instrText>","non-dropping-particle":"","parse-names":false,"suffix":""}],"edition":"Jilid II","id":"ITEM-1","issued":{"date-parts":[["1996"]]},"number-of-pages":"3377","publisher":"Dār al-Ma'rifah","title":"Al-Muwāfaqāt","type":"book"},"uris":["http://www.mendeley.com/documents/?uuid=81979193-eef6-4e64-85cf-e977b70f8876"]}],"mendeley":{"formattedCitation":"Asy-Syā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t&lt;/i&gt;.","plainTextFormattedCitation":"Asy-Syā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t.","previouslyFormattedCitation":"Asy-Sy</w:instrText>
      </w:r>
      <w:r w:rsidRPr="000D5261">
        <w:rPr>
          <w:rFonts w:ascii="Garamond" w:hAnsi="Garamond" w:cs="Garamond"/>
        </w:rPr>
        <w:instrText>ā</w:instrText>
      </w:r>
      <w:r w:rsidRPr="000D5261">
        <w:rPr>
          <w:rFonts w:ascii="Cambria" w:hAnsi="Cambria" w:cs="Cambria"/>
        </w:rPr>
        <w:instrText>ṭ</w:instrText>
      </w:r>
      <w:r w:rsidRPr="000D5261">
        <w:rPr>
          <w:rFonts w:ascii="Garamond" w:hAnsi="Garamond"/>
        </w:rPr>
        <w:instrText>ib</w:instrText>
      </w:r>
      <w:r w:rsidRPr="000D5261">
        <w:rPr>
          <w:rFonts w:ascii="Garamond" w:hAnsi="Garamond" w:cs="Garamond"/>
        </w:rPr>
        <w:instrText>ī</w:instrText>
      </w:r>
      <w:r w:rsidRPr="000D5261">
        <w:rPr>
          <w:rFonts w:ascii="Garamond" w:hAnsi="Garamond"/>
        </w:rPr>
        <w:instrText>, &lt;i&gt;Al-Muw</w:instrText>
      </w:r>
      <w:r w:rsidRPr="000D5261">
        <w:rPr>
          <w:rFonts w:ascii="Garamond" w:hAnsi="Garamond" w:cs="Garamond"/>
        </w:rPr>
        <w:instrText>ā</w:instrText>
      </w:r>
      <w:r w:rsidRPr="000D5261">
        <w:rPr>
          <w:rFonts w:ascii="Garamond" w:hAnsi="Garamond"/>
        </w:rPr>
        <w:instrText>faq</w:instrText>
      </w:r>
      <w:r w:rsidRPr="000D5261">
        <w:rPr>
          <w:rFonts w:ascii="Garamond" w:hAnsi="Garamond" w:cs="Garamond"/>
        </w:rPr>
        <w:instrText>ā</w:instrText>
      </w:r>
      <w:r w:rsidRPr="000D5261">
        <w:rPr>
          <w:rFonts w:ascii="Garamond" w:hAnsi="Garamond"/>
        </w:rPr>
        <w:instrText>t&lt;/i&gt;."},"properties":{"noteIndex":0},"schema":"https://github.com/citation-style-language/schema/raw/master/csl-citation.json"}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Asy-Syā</w:t>
      </w:r>
      <w:r w:rsidRPr="000D5261">
        <w:rPr>
          <w:rFonts w:ascii="Cambria" w:hAnsi="Cambria" w:cs="Cambria"/>
          <w:noProof/>
        </w:rPr>
        <w:t>ṭ</w:t>
      </w:r>
      <w:r w:rsidRPr="000D5261">
        <w:rPr>
          <w:rFonts w:ascii="Garamond" w:hAnsi="Garamond"/>
          <w:noProof/>
        </w:rPr>
        <w:t>ib</w:t>
      </w:r>
      <w:r w:rsidRPr="000D5261">
        <w:rPr>
          <w:rFonts w:ascii="Garamond" w:hAnsi="Garamond" w:cs="Garamond"/>
          <w:noProof/>
        </w:rPr>
        <w:t>ī</w:t>
      </w:r>
      <w:r w:rsidRPr="000D5261">
        <w:rPr>
          <w:rFonts w:ascii="Garamond" w:hAnsi="Garamond"/>
          <w:noProof/>
        </w:rPr>
        <w:t xml:space="preserve">, </w:t>
      </w:r>
      <w:r w:rsidRPr="000D5261">
        <w:rPr>
          <w:rFonts w:ascii="Garamond" w:hAnsi="Garamond"/>
          <w:i/>
          <w:noProof/>
        </w:rPr>
        <w:t>Al-Muwāfaqāt</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6">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10.24042/adalah.v12i2.210","author":[{"dropping-particle":"","family":"Hamid","given":"Abdul","non-dropping-particle":"","parse-names":false,"suffix":""}],"container-title":"Al-'Adalah","id":"ITEM-1","issue":"2","issued":{"date-parts":[["2015"]]},"page":"729-742","title":"Aplikasi teori mashlahah (maslahat) Najm al-Dîn al-Thûfî dalam penyelesaian sengketa perjanjian bisnis di bank syariah","type":"article-journal","volume":"12"},"uris":["http://www.mendeley.com/documents/?uuid=e24e07d0-77f5-4e3a-a26d-882244e1a0a8"]}],"mendeley":{"formattedCitation":"Abdul Hamid, “Aplikasi Teori Mashlahah (Maslahat) Najm Al-Dîn Al-Thûfî Dalam Penyelesaian Sengketa Perjanjian Bisnis Di Bank Syariah,” &lt;i&gt;Al-’Adalah&lt;/i&gt; 12, no. 2 (2015): 729–42, doi:10.24042/adalah.v12i2.210.","plainTextFormattedCitation":"Abdul Hamid, “Aplikasi Teori Mashlahah (Maslahat) Najm Al-Dîn Al-Thûfî Dalam Penyelesaian Sengketa Perjanjian Bisnis Di Bank Syariah,” Al-’Adalah 12, no. 2 (2015): 729–42, doi:10.24042/adalah.v12i2.210.","previouslyFormattedCitation":"Abdul Hamid, “Aplikasi Teori Mashlahah (Maslahat) Najm Al-Dîn Al-Thûfî Dalam Penyelesaian Sengketa Perjanjian Bisnis Di Bank Syariah,” &lt;i&gt;Al-’Adalah&lt;/i&gt; 12, no. 2 (2015): 729–42, doi:10.24042/adalah.v12i2.210."},"properties":{"noteIndex":0},"schema":"https://github.com/citation-style-language/schema/raw/master/csl-citation.json"}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Abdul Hamid, “Aplikasi Teori Mashlahah (Maslahat) Najm Al-Dîn Al-Thûfî Dalam Penyelesaian Sengketa Perjanjian Bisnis Di Bank Syariah,” </w:t>
      </w:r>
      <w:r w:rsidRPr="000D5261">
        <w:rPr>
          <w:rFonts w:ascii="Garamond" w:hAnsi="Garamond"/>
          <w:i/>
          <w:noProof/>
        </w:rPr>
        <w:t>Al-’Adalah</w:t>
      </w:r>
      <w:r w:rsidRPr="000D5261">
        <w:rPr>
          <w:rFonts w:ascii="Garamond" w:hAnsi="Garamond"/>
          <w:noProof/>
        </w:rPr>
        <w:t xml:space="preserve"> 12, no. 2 (2015): 729–42, doi:10.24042/adalah.v12i2.210.</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7">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{"citationItems":[{"id":"ITEM-1","itemData":{"URL":"https://www.islamweb.net/ar/fatwa/225697/</w:instrText>
      </w:r>
      <w:r w:rsidRPr="000D5261">
        <w:rPr>
          <w:rFonts w:ascii="Garamond" w:hAnsi="Garamond"/>
          <w:rtl/>
        </w:rPr>
        <w:instrText>التأويل-الصحيح-لمقولة-حيثما-تكون-المصلحة،-فثم-شرع-الله</w:instrText>
      </w:r>
      <w:r w:rsidRPr="000D5261">
        <w:rPr>
          <w:rFonts w:ascii="Garamond" w:hAnsi="Garamond"/>
        </w:rPr>
        <w:instrText>","accessed":{"date-parts":[["2022","1","13"]]},"author":[{"dropping-particle":"","family":"Web","given":"Islam","non-dropping-particle":"","parse-names":false,"suffix":""}],"container-title":"Islamweb","id":"ITEM-1","issued":{"date-parts":[["2013"]]},"title":"At-Ta'wīl a</w:instrText>
      </w:r>
      <w:r w:rsidRPr="000D5261">
        <w:rPr>
          <w:rFonts w:ascii="Cambria" w:hAnsi="Cambria" w:cs="Cambria"/>
        </w:rPr>
        <w:instrText>ṣ</w:instrText>
      </w:r>
      <w:r w:rsidRPr="000D5261">
        <w:rPr>
          <w:rFonts w:ascii="Garamond" w:hAnsi="Garamond"/>
        </w:rPr>
        <w:instrText>-</w:instrText>
      </w:r>
      <w:r w:rsidRPr="000D5261">
        <w:rPr>
          <w:rFonts w:ascii="Cambria" w:hAnsi="Cambria" w:cs="Cambria"/>
        </w:rPr>
        <w:instrText>Ṣ</w:instrText>
      </w:r>
      <w:r w:rsidRPr="000D5261">
        <w:rPr>
          <w:rFonts w:ascii="Garamond" w:hAnsi="Garamond"/>
        </w:rPr>
        <w:instrText>ah</w:instrText>
      </w:r>
      <w:r w:rsidRPr="000D5261">
        <w:rPr>
          <w:rFonts w:ascii="Garamond" w:hAnsi="Garamond" w:cs="Garamond"/>
        </w:rPr>
        <w:instrText>ī</w:instrText>
      </w:r>
      <w:r w:rsidRPr="000D5261">
        <w:rPr>
          <w:rFonts w:ascii="Garamond" w:hAnsi="Garamond"/>
        </w:rPr>
        <w:instrText>h limaq</w:instrText>
      </w:r>
      <w:r w:rsidRPr="000D5261">
        <w:rPr>
          <w:rFonts w:ascii="Garamond" w:hAnsi="Garamond" w:cs="Garamond"/>
        </w:rPr>
        <w:instrText>ū</w:instrText>
      </w:r>
      <w:r w:rsidRPr="000D5261">
        <w:rPr>
          <w:rFonts w:ascii="Garamond" w:hAnsi="Garamond"/>
        </w:rPr>
        <w:instrText>lah \"Hai</w:instrText>
      </w:r>
      <w:r w:rsidRPr="000D5261">
        <w:rPr>
          <w:rFonts w:ascii="Cambria" w:hAnsi="Cambria" w:cs="Cambria"/>
        </w:rPr>
        <w:instrText>ṡ</w:instrText>
      </w:r>
      <w:r w:rsidRPr="000D5261">
        <w:rPr>
          <w:rFonts w:ascii="Garamond" w:hAnsi="Garamond"/>
        </w:rPr>
        <w:instrText>um</w:instrText>
      </w:r>
      <w:r w:rsidRPr="000D5261">
        <w:rPr>
          <w:rFonts w:ascii="Garamond" w:hAnsi="Garamond" w:cs="Garamond"/>
        </w:rPr>
        <w:instrText>ā</w:instrText>
      </w:r>
      <w:r w:rsidRPr="000D5261">
        <w:rPr>
          <w:rFonts w:ascii="Garamond" w:hAnsi="Garamond"/>
        </w:rPr>
        <w:instrText xml:space="preserve"> Tak</w:instrText>
      </w:r>
      <w:r w:rsidRPr="000D5261">
        <w:rPr>
          <w:rFonts w:ascii="Garamond" w:hAnsi="Garamond" w:cs="Garamond"/>
        </w:rPr>
        <w:instrText>ū</w:instrText>
      </w:r>
      <w:r w:rsidRPr="000D5261">
        <w:rPr>
          <w:rFonts w:ascii="Garamond" w:hAnsi="Garamond"/>
        </w:rPr>
        <w:instrText>na Al-Ma</w:instrText>
      </w:r>
      <w:r w:rsidRPr="000D5261">
        <w:rPr>
          <w:rFonts w:ascii="Cambria" w:hAnsi="Cambria" w:cs="Cambria"/>
        </w:rPr>
        <w:instrText>ṣ</w:instrText>
      </w:r>
      <w:r w:rsidRPr="000D5261">
        <w:rPr>
          <w:rFonts w:ascii="Garamond" w:hAnsi="Garamond"/>
        </w:rPr>
        <w:instrText>lahah, Fa</w:instrText>
      </w:r>
      <w:r w:rsidRPr="000D5261">
        <w:rPr>
          <w:rFonts w:ascii="Cambria" w:hAnsi="Cambria" w:cs="Cambria"/>
        </w:rPr>
        <w:instrText>ṡ</w:instrText>
      </w:r>
      <w:r w:rsidRPr="000D5261">
        <w:rPr>
          <w:rFonts w:ascii="Garamond" w:hAnsi="Garamond"/>
        </w:rPr>
        <w:instrText>amma Syar'ullah\"","type":"webpage"},"uris":["http://www.mendeley.com/documents/?uuid=a10f2fb4-6232-4867-acb2-5af01e5dafbb"]}],"mendeley":{"formattedCitation":"Islam Web, “At-Ta’wīl A</w:instrText>
      </w:r>
      <w:r w:rsidRPr="000D5261">
        <w:rPr>
          <w:rFonts w:ascii="Cambria" w:hAnsi="Cambria" w:cs="Cambria"/>
        </w:rPr>
        <w:instrText>ṣ</w:instrText>
      </w:r>
      <w:r w:rsidRPr="000D5261">
        <w:rPr>
          <w:rFonts w:ascii="Garamond" w:hAnsi="Garamond"/>
        </w:rPr>
        <w:instrText>-</w:instrText>
      </w:r>
      <w:r w:rsidRPr="000D5261">
        <w:rPr>
          <w:rFonts w:ascii="Cambria" w:hAnsi="Cambria" w:cs="Cambria"/>
        </w:rPr>
        <w:instrText>Ṣ</w:instrText>
      </w:r>
      <w:r w:rsidRPr="000D5261">
        <w:rPr>
          <w:rFonts w:ascii="Garamond" w:hAnsi="Garamond"/>
        </w:rPr>
        <w:instrText>ah</w:instrText>
      </w:r>
      <w:r w:rsidRPr="000D5261">
        <w:rPr>
          <w:rFonts w:ascii="Garamond" w:hAnsi="Garamond" w:cs="Garamond"/>
        </w:rPr>
        <w:instrText>ī</w:instrText>
      </w:r>
      <w:r w:rsidRPr="000D5261">
        <w:rPr>
          <w:rFonts w:ascii="Garamond" w:hAnsi="Garamond"/>
        </w:rPr>
        <w:instrText>h Limaq</w:instrText>
      </w:r>
      <w:r w:rsidRPr="000D5261">
        <w:rPr>
          <w:rFonts w:ascii="Garamond" w:hAnsi="Garamond" w:cs="Garamond"/>
        </w:rPr>
        <w:instrText>ū</w:instrText>
      </w:r>
      <w:r w:rsidRPr="000D5261">
        <w:rPr>
          <w:rFonts w:ascii="Garamond" w:hAnsi="Garamond"/>
        </w:rPr>
        <w:instrText xml:space="preserve">lah </w:instrText>
      </w:r>
      <w:r w:rsidRPr="000D5261">
        <w:rPr>
          <w:rFonts w:ascii="Garamond" w:hAnsi="Garamond" w:cs="Garamond"/>
        </w:rPr>
        <w:instrText>‘</w:instrText>
      </w:r>
      <w:r w:rsidRPr="000D5261">
        <w:rPr>
          <w:rFonts w:ascii="Garamond" w:hAnsi="Garamond"/>
        </w:rPr>
        <w:instrText>Hai</w:instrText>
      </w:r>
      <w:r w:rsidRPr="000D5261">
        <w:rPr>
          <w:rFonts w:ascii="Cambria" w:hAnsi="Cambria" w:cs="Cambria"/>
        </w:rPr>
        <w:instrText>ṡ</w:instrText>
      </w:r>
      <w:r w:rsidRPr="000D5261">
        <w:rPr>
          <w:rFonts w:ascii="Garamond" w:hAnsi="Garamond"/>
        </w:rPr>
        <w:instrText>um</w:instrText>
      </w:r>
      <w:r w:rsidRPr="000D5261">
        <w:rPr>
          <w:rFonts w:ascii="Garamond" w:hAnsi="Garamond" w:cs="Garamond"/>
        </w:rPr>
        <w:instrText>ā</w:instrText>
      </w:r>
      <w:r w:rsidRPr="000D5261">
        <w:rPr>
          <w:rFonts w:ascii="Garamond" w:hAnsi="Garamond"/>
        </w:rPr>
        <w:instrText xml:space="preserve"> Tak</w:instrText>
      </w:r>
      <w:r w:rsidRPr="000D5261">
        <w:rPr>
          <w:rFonts w:ascii="Garamond" w:hAnsi="Garamond" w:cs="Garamond"/>
        </w:rPr>
        <w:instrText>ū</w:instrText>
      </w:r>
      <w:r w:rsidRPr="000D5261">
        <w:rPr>
          <w:rFonts w:ascii="Garamond" w:hAnsi="Garamond"/>
        </w:rPr>
        <w:instrText>na Al-Ma</w:instrText>
      </w:r>
      <w:r w:rsidRPr="000D5261">
        <w:rPr>
          <w:rFonts w:ascii="Cambria" w:hAnsi="Cambria" w:cs="Cambria"/>
        </w:rPr>
        <w:instrText>ṣ</w:instrText>
      </w:r>
      <w:r w:rsidRPr="000D5261">
        <w:rPr>
          <w:rFonts w:ascii="Garamond" w:hAnsi="Garamond"/>
        </w:rPr>
        <w:instrText>lahah, Fa</w:instrText>
      </w:r>
      <w:r w:rsidRPr="000D5261">
        <w:rPr>
          <w:rFonts w:ascii="Cambria" w:hAnsi="Cambria" w:cs="Cambria"/>
        </w:rPr>
        <w:instrText>ṡ</w:instrText>
      </w:r>
      <w:r w:rsidRPr="000D5261">
        <w:rPr>
          <w:rFonts w:ascii="Garamond" w:hAnsi="Garamond"/>
        </w:rPr>
        <w:instrText>amma Syar</w:instrText>
      </w:r>
      <w:r w:rsidRPr="000D5261">
        <w:rPr>
          <w:rFonts w:ascii="Garamond" w:hAnsi="Garamond" w:cs="Garamond"/>
        </w:rPr>
        <w:instrText>’</w:instrText>
      </w:r>
      <w:r w:rsidRPr="000D5261">
        <w:rPr>
          <w:rFonts w:ascii="Garamond" w:hAnsi="Garamond"/>
        </w:rPr>
        <w:instrText>ullah,</w:instrText>
      </w:r>
      <w:r w:rsidRPr="000D5261">
        <w:rPr>
          <w:rFonts w:ascii="Garamond" w:hAnsi="Garamond" w:cs="Garamond"/>
        </w:rPr>
        <w:instrText>’”</w:instrText>
      </w:r>
      <w:r w:rsidRPr="000D5261">
        <w:rPr>
          <w:rFonts w:ascii="Garamond" w:hAnsi="Garamond"/>
        </w:rPr>
        <w:instrText xml:space="preserve"> &lt;i&gt;Islamweb&lt;/i&gt;, 2013, https://www.islamweb.net/ar/fatwa/225697/</w:instrText>
      </w:r>
      <w:r w:rsidRPr="000D5261">
        <w:rPr>
          <w:rFonts w:ascii="Garamond" w:hAnsi="Garamond"/>
          <w:rtl/>
        </w:rPr>
        <w:instrText>التأويل-الصحيح-لمقولة-حيثما-تكون-المصلحة،-فثم-شرع-الله</w:instrText>
      </w:r>
      <w:r w:rsidRPr="000D5261">
        <w:rPr>
          <w:rFonts w:ascii="Garamond" w:hAnsi="Garamond"/>
        </w:rPr>
        <w:instrText>.","plainTextFormattedCitation":"Islam Web, “At-Ta’wīl A</w:instrText>
      </w:r>
      <w:r w:rsidRPr="000D5261">
        <w:rPr>
          <w:rFonts w:ascii="Cambria" w:hAnsi="Cambria" w:cs="Cambria"/>
        </w:rPr>
        <w:instrText>ṣ</w:instrText>
      </w:r>
      <w:r w:rsidRPr="000D5261">
        <w:rPr>
          <w:rFonts w:ascii="Garamond" w:hAnsi="Garamond"/>
        </w:rPr>
        <w:instrText>-</w:instrText>
      </w:r>
      <w:r w:rsidRPr="000D5261">
        <w:rPr>
          <w:rFonts w:ascii="Cambria" w:hAnsi="Cambria" w:cs="Cambria"/>
        </w:rPr>
        <w:instrText>Ṣ</w:instrText>
      </w:r>
      <w:r w:rsidRPr="000D5261">
        <w:rPr>
          <w:rFonts w:ascii="Garamond" w:hAnsi="Garamond"/>
        </w:rPr>
        <w:instrText>ah</w:instrText>
      </w:r>
      <w:r w:rsidRPr="000D5261">
        <w:rPr>
          <w:rFonts w:ascii="Garamond" w:hAnsi="Garamond" w:cs="Garamond"/>
        </w:rPr>
        <w:instrText>ī</w:instrText>
      </w:r>
      <w:r w:rsidRPr="000D5261">
        <w:rPr>
          <w:rFonts w:ascii="Garamond" w:hAnsi="Garamond"/>
        </w:rPr>
        <w:instrText>h Limaq</w:instrText>
      </w:r>
      <w:r w:rsidRPr="000D5261">
        <w:rPr>
          <w:rFonts w:ascii="Garamond" w:hAnsi="Garamond" w:cs="Garamond"/>
        </w:rPr>
        <w:instrText>ū</w:instrText>
      </w:r>
      <w:r w:rsidRPr="000D5261">
        <w:rPr>
          <w:rFonts w:ascii="Garamond" w:hAnsi="Garamond"/>
        </w:rPr>
        <w:instrText xml:space="preserve">lah </w:instrText>
      </w:r>
      <w:r w:rsidRPr="000D5261">
        <w:rPr>
          <w:rFonts w:ascii="Garamond" w:hAnsi="Garamond" w:cs="Garamond"/>
        </w:rPr>
        <w:instrText>‘</w:instrText>
      </w:r>
      <w:r w:rsidRPr="000D5261">
        <w:rPr>
          <w:rFonts w:ascii="Garamond" w:hAnsi="Garamond"/>
        </w:rPr>
        <w:instrText>Hai</w:instrText>
      </w:r>
      <w:r w:rsidRPr="000D5261">
        <w:rPr>
          <w:rFonts w:ascii="Cambria" w:hAnsi="Cambria" w:cs="Cambria"/>
        </w:rPr>
        <w:instrText>ṡ</w:instrText>
      </w:r>
      <w:r w:rsidRPr="000D5261">
        <w:rPr>
          <w:rFonts w:ascii="Garamond" w:hAnsi="Garamond"/>
        </w:rPr>
        <w:instrText>um</w:instrText>
      </w:r>
      <w:r w:rsidRPr="000D5261">
        <w:rPr>
          <w:rFonts w:ascii="Garamond" w:hAnsi="Garamond" w:cs="Garamond"/>
        </w:rPr>
        <w:instrText>ā</w:instrText>
      </w:r>
      <w:r w:rsidRPr="000D5261">
        <w:rPr>
          <w:rFonts w:ascii="Garamond" w:hAnsi="Garamond"/>
        </w:rPr>
        <w:instrText xml:space="preserve"> Tak</w:instrText>
      </w:r>
      <w:r w:rsidRPr="000D5261">
        <w:rPr>
          <w:rFonts w:ascii="Garamond" w:hAnsi="Garamond" w:cs="Garamond"/>
        </w:rPr>
        <w:instrText>ū</w:instrText>
      </w:r>
      <w:r w:rsidRPr="000D5261">
        <w:rPr>
          <w:rFonts w:ascii="Garamond" w:hAnsi="Garamond"/>
        </w:rPr>
        <w:instrText>na Al-Ma</w:instrText>
      </w:r>
      <w:r w:rsidRPr="000D5261">
        <w:rPr>
          <w:rFonts w:ascii="Cambria" w:hAnsi="Cambria" w:cs="Cambria"/>
        </w:rPr>
        <w:instrText>ṣ</w:instrText>
      </w:r>
      <w:r w:rsidRPr="000D5261">
        <w:rPr>
          <w:rFonts w:ascii="Garamond" w:hAnsi="Garamond"/>
        </w:rPr>
        <w:instrText>lahah, Fa</w:instrText>
      </w:r>
      <w:r w:rsidRPr="000D5261">
        <w:rPr>
          <w:rFonts w:ascii="Cambria" w:hAnsi="Cambria" w:cs="Cambria"/>
        </w:rPr>
        <w:instrText>ṡ</w:instrText>
      </w:r>
      <w:r w:rsidRPr="000D5261">
        <w:rPr>
          <w:rFonts w:ascii="Garamond" w:hAnsi="Garamond"/>
        </w:rPr>
        <w:instrText>amma Syar</w:instrText>
      </w:r>
      <w:r w:rsidRPr="000D5261">
        <w:rPr>
          <w:rFonts w:ascii="Garamond" w:hAnsi="Garamond" w:cs="Garamond"/>
        </w:rPr>
        <w:instrText>’</w:instrText>
      </w:r>
      <w:r w:rsidRPr="000D5261">
        <w:rPr>
          <w:rFonts w:ascii="Garamond" w:hAnsi="Garamond"/>
        </w:rPr>
        <w:instrText>ullah,</w:instrText>
      </w:r>
      <w:r w:rsidRPr="000D5261">
        <w:rPr>
          <w:rFonts w:ascii="Garamond" w:hAnsi="Garamond" w:cs="Garamond"/>
        </w:rPr>
        <w:instrText>’”</w:instrText>
      </w:r>
      <w:r w:rsidRPr="000D5261">
        <w:rPr>
          <w:rFonts w:ascii="Garamond" w:hAnsi="Garamond"/>
        </w:rPr>
        <w:instrText xml:space="preserve"> Islamweb, 2013, https://www.islamweb.net/ar/fatwa/225697/</w:instrText>
      </w:r>
      <w:r w:rsidRPr="000D5261">
        <w:rPr>
          <w:rFonts w:ascii="Garamond" w:hAnsi="Garamond"/>
          <w:rtl/>
        </w:rPr>
        <w:instrText>التأويل-الصحيح-لمقولة-حيثما-تكون-المصلحة،-فثم-شرع-الله</w:instrText>
      </w:r>
      <w:r w:rsidRPr="000D5261">
        <w:rPr>
          <w:rFonts w:ascii="Garamond" w:hAnsi="Garamond"/>
        </w:rPr>
        <w:instrText>.","previouslyFormattedCitation":"Islam Web, “At-Ta’wīl A</w:instrText>
      </w:r>
      <w:r w:rsidRPr="000D5261">
        <w:rPr>
          <w:rFonts w:ascii="Cambria" w:hAnsi="Cambria" w:cs="Cambria"/>
        </w:rPr>
        <w:instrText>ṣ</w:instrText>
      </w:r>
      <w:r w:rsidRPr="000D5261">
        <w:rPr>
          <w:rFonts w:ascii="Garamond" w:hAnsi="Garamond"/>
        </w:rPr>
        <w:instrText>-</w:instrText>
      </w:r>
      <w:r w:rsidRPr="000D5261">
        <w:rPr>
          <w:rFonts w:ascii="Cambria" w:hAnsi="Cambria" w:cs="Cambria"/>
        </w:rPr>
        <w:instrText>Ṣ</w:instrText>
      </w:r>
      <w:r w:rsidRPr="000D5261">
        <w:rPr>
          <w:rFonts w:ascii="Garamond" w:hAnsi="Garamond"/>
        </w:rPr>
        <w:instrText>ah</w:instrText>
      </w:r>
      <w:r w:rsidRPr="000D5261">
        <w:rPr>
          <w:rFonts w:ascii="Garamond" w:hAnsi="Garamond" w:cs="Garamond"/>
        </w:rPr>
        <w:instrText>ī</w:instrText>
      </w:r>
      <w:r w:rsidRPr="000D5261">
        <w:rPr>
          <w:rFonts w:ascii="Garamond" w:hAnsi="Garamond"/>
        </w:rPr>
        <w:instrText>h Limaq</w:instrText>
      </w:r>
      <w:r w:rsidRPr="000D5261">
        <w:rPr>
          <w:rFonts w:ascii="Garamond" w:hAnsi="Garamond" w:cs="Garamond"/>
        </w:rPr>
        <w:instrText>ū</w:instrText>
      </w:r>
      <w:r w:rsidRPr="000D5261">
        <w:rPr>
          <w:rFonts w:ascii="Garamond" w:hAnsi="Garamond"/>
        </w:rPr>
        <w:instrText xml:space="preserve">lah </w:instrText>
      </w:r>
      <w:r w:rsidRPr="000D5261">
        <w:rPr>
          <w:rFonts w:ascii="Garamond" w:hAnsi="Garamond" w:cs="Garamond"/>
        </w:rPr>
        <w:instrText>‘</w:instrText>
      </w:r>
      <w:r w:rsidRPr="000D5261">
        <w:rPr>
          <w:rFonts w:ascii="Garamond" w:hAnsi="Garamond"/>
        </w:rPr>
        <w:instrText>Hai</w:instrText>
      </w:r>
      <w:r w:rsidRPr="000D5261">
        <w:rPr>
          <w:rFonts w:ascii="Cambria" w:hAnsi="Cambria" w:cs="Cambria"/>
        </w:rPr>
        <w:instrText>ṡ</w:instrText>
      </w:r>
      <w:r w:rsidRPr="000D5261">
        <w:rPr>
          <w:rFonts w:ascii="Garamond" w:hAnsi="Garamond"/>
        </w:rPr>
        <w:instrText>um</w:instrText>
      </w:r>
      <w:r w:rsidRPr="000D5261">
        <w:rPr>
          <w:rFonts w:ascii="Garamond" w:hAnsi="Garamond" w:cs="Garamond"/>
        </w:rPr>
        <w:instrText>ā</w:instrText>
      </w:r>
      <w:r w:rsidRPr="000D5261">
        <w:rPr>
          <w:rFonts w:ascii="Garamond" w:hAnsi="Garamond"/>
        </w:rPr>
        <w:instrText xml:space="preserve"> Tak</w:instrText>
      </w:r>
      <w:r w:rsidRPr="000D5261">
        <w:rPr>
          <w:rFonts w:ascii="Garamond" w:hAnsi="Garamond" w:cs="Garamond"/>
        </w:rPr>
        <w:instrText>ū</w:instrText>
      </w:r>
      <w:r w:rsidRPr="000D5261">
        <w:rPr>
          <w:rFonts w:ascii="Garamond" w:hAnsi="Garamond"/>
        </w:rPr>
        <w:instrText>na Al-Ma</w:instrText>
      </w:r>
      <w:r w:rsidRPr="000D5261">
        <w:rPr>
          <w:rFonts w:ascii="Cambria" w:hAnsi="Cambria" w:cs="Cambria"/>
        </w:rPr>
        <w:instrText>ṣ</w:instrText>
      </w:r>
      <w:r w:rsidRPr="000D5261">
        <w:rPr>
          <w:rFonts w:ascii="Garamond" w:hAnsi="Garamond"/>
        </w:rPr>
        <w:instrText>lahah, Fa</w:instrText>
      </w:r>
      <w:r w:rsidRPr="000D5261">
        <w:rPr>
          <w:rFonts w:ascii="Cambria" w:hAnsi="Cambria" w:cs="Cambria"/>
        </w:rPr>
        <w:instrText>ṡ</w:instrText>
      </w:r>
      <w:r w:rsidRPr="000D5261">
        <w:rPr>
          <w:rFonts w:ascii="Garamond" w:hAnsi="Garamond"/>
        </w:rPr>
        <w:instrText>amma Syar</w:instrText>
      </w:r>
      <w:r w:rsidRPr="000D5261">
        <w:rPr>
          <w:rFonts w:ascii="Garamond" w:hAnsi="Garamond" w:cs="Garamond"/>
        </w:rPr>
        <w:instrText>’</w:instrText>
      </w:r>
      <w:r w:rsidRPr="000D5261">
        <w:rPr>
          <w:rFonts w:ascii="Garamond" w:hAnsi="Garamond"/>
        </w:rPr>
        <w:instrText>ullah,</w:instrText>
      </w:r>
      <w:r w:rsidRPr="000D5261">
        <w:rPr>
          <w:rFonts w:ascii="Garamond" w:hAnsi="Garamond" w:cs="Garamond"/>
        </w:rPr>
        <w:instrText>’”</w:instrText>
      </w:r>
      <w:r w:rsidRPr="000D5261">
        <w:rPr>
          <w:rFonts w:ascii="Garamond" w:hAnsi="Garamond"/>
        </w:rPr>
        <w:instrText xml:space="preserve"> &lt;i&gt;Islamweb&lt;/i&gt;, 2013, https://www.islamweb.net/ar/fatwa/225697/</w:instrText>
      </w:r>
      <w:r w:rsidRPr="000D5261">
        <w:rPr>
          <w:rFonts w:ascii="Garamond" w:hAnsi="Garamond"/>
          <w:rtl/>
        </w:rPr>
        <w:instrText>التأويل-الصحيح-لمقولة-حيثما-تكون-المصلحة،-فثم-شرع-الله</w:instrText>
      </w:r>
      <w:r w:rsidRPr="000D5261">
        <w:rPr>
          <w:rFonts w:ascii="Garamond" w:hAnsi="Garamond"/>
        </w:rPr>
        <w:instrText>."},"properties":{"noteIndex":0},"schema":"https://github.com/citation-style-language/schema/raw/master/csl-citation.json"}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Islam Web, “At-Ta’wīl A</w:t>
      </w:r>
      <w:r w:rsidRPr="000D5261">
        <w:rPr>
          <w:rFonts w:ascii="Cambria" w:hAnsi="Cambria" w:cs="Cambria"/>
          <w:noProof/>
        </w:rPr>
        <w:t>ṣ</w:t>
      </w:r>
      <w:r w:rsidRPr="000D5261">
        <w:rPr>
          <w:rFonts w:ascii="Garamond" w:hAnsi="Garamond"/>
          <w:noProof/>
        </w:rPr>
        <w:t>-</w:t>
      </w:r>
      <w:r w:rsidRPr="000D5261">
        <w:rPr>
          <w:rFonts w:ascii="Cambria" w:hAnsi="Cambria" w:cs="Cambria"/>
          <w:noProof/>
        </w:rPr>
        <w:t>Ṣ</w:t>
      </w:r>
      <w:r w:rsidRPr="000D5261">
        <w:rPr>
          <w:rFonts w:ascii="Garamond" w:hAnsi="Garamond"/>
          <w:noProof/>
        </w:rPr>
        <w:t>ah</w:t>
      </w:r>
      <w:r w:rsidRPr="000D5261">
        <w:rPr>
          <w:rFonts w:ascii="Garamond" w:hAnsi="Garamond" w:cs="Garamond"/>
          <w:noProof/>
        </w:rPr>
        <w:t>ī</w:t>
      </w:r>
      <w:r w:rsidRPr="000D5261">
        <w:rPr>
          <w:rFonts w:ascii="Garamond" w:hAnsi="Garamond"/>
          <w:noProof/>
        </w:rPr>
        <w:t>h Limaq</w:t>
      </w:r>
      <w:r w:rsidRPr="000D5261">
        <w:rPr>
          <w:rFonts w:ascii="Garamond" w:hAnsi="Garamond" w:cs="Garamond"/>
          <w:noProof/>
        </w:rPr>
        <w:t>ū</w:t>
      </w:r>
      <w:r w:rsidRPr="000D5261">
        <w:rPr>
          <w:rFonts w:ascii="Garamond" w:hAnsi="Garamond"/>
          <w:noProof/>
        </w:rPr>
        <w:t xml:space="preserve">lah </w:t>
      </w:r>
      <w:r w:rsidRPr="000D5261">
        <w:rPr>
          <w:rFonts w:ascii="Garamond" w:hAnsi="Garamond" w:cs="Garamond"/>
          <w:noProof/>
        </w:rPr>
        <w:t>‘</w:t>
      </w:r>
      <w:r w:rsidRPr="000D5261">
        <w:rPr>
          <w:rFonts w:ascii="Garamond" w:hAnsi="Garamond"/>
          <w:noProof/>
        </w:rPr>
        <w:t>Hai</w:t>
      </w:r>
      <w:r w:rsidRPr="000D5261">
        <w:rPr>
          <w:rFonts w:ascii="Cambria" w:hAnsi="Cambria" w:cs="Cambria"/>
          <w:noProof/>
        </w:rPr>
        <w:t>ṡ</w:t>
      </w:r>
      <w:r w:rsidRPr="000D5261">
        <w:rPr>
          <w:rFonts w:ascii="Garamond" w:hAnsi="Garamond"/>
          <w:noProof/>
        </w:rPr>
        <w:t>um</w:t>
      </w:r>
      <w:r w:rsidRPr="000D5261">
        <w:rPr>
          <w:rFonts w:ascii="Garamond" w:hAnsi="Garamond" w:cs="Garamond"/>
          <w:noProof/>
        </w:rPr>
        <w:t>ā</w:t>
      </w:r>
      <w:r w:rsidRPr="000D5261">
        <w:rPr>
          <w:rFonts w:ascii="Garamond" w:hAnsi="Garamond"/>
          <w:noProof/>
        </w:rPr>
        <w:t xml:space="preserve"> Tak</w:t>
      </w:r>
      <w:r w:rsidRPr="000D5261">
        <w:rPr>
          <w:rFonts w:ascii="Garamond" w:hAnsi="Garamond" w:cs="Garamond"/>
          <w:noProof/>
        </w:rPr>
        <w:t>ū</w:t>
      </w:r>
      <w:r w:rsidRPr="000D5261">
        <w:rPr>
          <w:rFonts w:ascii="Garamond" w:hAnsi="Garamond"/>
          <w:noProof/>
        </w:rPr>
        <w:t>na Al-Ma</w:t>
      </w:r>
      <w:r w:rsidRPr="000D5261">
        <w:rPr>
          <w:rFonts w:ascii="Cambria" w:hAnsi="Cambria" w:cs="Cambria"/>
          <w:noProof/>
        </w:rPr>
        <w:t>ṣ</w:t>
      </w:r>
      <w:r w:rsidRPr="000D5261">
        <w:rPr>
          <w:rFonts w:ascii="Garamond" w:hAnsi="Garamond"/>
          <w:noProof/>
        </w:rPr>
        <w:t>lahah, Fa</w:t>
      </w:r>
      <w:r w:rsidRPr="000D5261">
        <w:rPr>
          <w:rFonts w:ascii="Cambria" w:hAnsi="Cambria" w:cs="Cambria"/>
          <w:noProof/>
        </w:rPr>
        <w:t>ṡ</w:t>
      </w:r>
      <w:r w:rsidRPr="000D5261">
        <w:rPr>
          <w:rFonts w:ascii="Garamond" w:hAnsi="Garamond"/>
          <w:noProof/>
        </w:rPr>
        <w:t>amma Syar</w:t>
      </w:r>
      <w:r w:rsidRPr="000D5261">
        <w:rPr>
          <w:rFonts w:ascii="Garamond" w:hAnsi="Garamond" w:cs="Garamond"/>
          <w:noProof/>
        </w:rPr>
        <w:t>’</w:t>
      </w:r>
      <w:r w:rsidRPr="000D5261">
        <w:rPr>
          <w:rFonts w:ascii="Garamond" w:hAnsi="Garamond"/>
          <w:noProof/>
        </w:rPr>
        <w:t xml:space="preserve">ullah,’” </w:t>
      </w:r>
      <w:r w:rsidRPr="000D5261">
        <w:rPr>
          <w:rFonts w:ascii="Garamond" w:hAnsi="Garamond"/>
          <w:i/>
          <w:noProof/>
        </w:rPr>
        <w:t>Islamweb</w:t>
      </w:r>
      <w:r w:rsidRPr="000D5261">
        <w:rPr>
          <w:rFonts w:ascii="Garamond" w:hAnsi="Garamond"/>
          <w:noProof/>
        </w:rPr>
        <w:t>, 2013, https://www.islamweb.net/ar/fatwa/225697/</w:t>
      </w:r>
      <w:r w:rsidRPr="000D5261">
        <w:rPr>
          <w:rFonts w:ascii="Garamond" w:hAnsi="Garamond"/>
          <w:noProof/>
          <w:rtl/>
        </w:rPr>
        <w:t>التأويل-الصحيح-لمقولة-حيثما-تكون-المصلحة،-فثم-شرع-الله</w:t>
      </w:r>
      <w:r w:rsidRPr="000D5261">
        <w:rPr>
          <w:rFonts w:ascii="Garamond" w:hAnsi="Garamond"/>
          <w:noProof/>
        </w:rPr>
        <w:t>.</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8">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{"citationItems":[{"id":"ITEM-1","itemData":{"URL":"https://dsnmui.or.id/kategori/fatwa/","accessed":{"date-parts":[["2022","3","14"]]},"author":[{"dropping-particle":"","family":"Indonesia","given":"Dewan Syariah Nasional – Majelis Ulama","non-dropping-particle":"","parse-names":false,"suffix":""}],"container-title":"DSN MUI","id":"ITEM-1","issued":{"date-parts":[["2022"]]},"publisher-place":"Indonesia","title":"Fatwa","type":"webpage"},"uris":["http://www.mendeley.com/documents/?uuid=55d78abb-3c52-41f1-84ae-1fca0b4773af"]}],"mendeley":{"formattedCitation":"Dewan Syariah Nasional – Majelis Ulama Indonesia, “Fatwa,” &lt;i&gt;DSN MUI&lt;/i&gt; (Indonesia, 2022), https://dsnmui.or.id/kategori/fatwa/.","plainTextFormattedCitation":"Dewan Syariah Nasional – Majelis Ulama Indonesia, “Fatwa,” DSN MUI (Indonesia, 2022), https://dsnmui.or.id/kategori/fatwa/.","previouslyFormattedCitation":"Dewan Syariah Nasional – Majelis Ulama Indonesia, “Fatwa,” &lt;i&gt;DSN MUI&lt;/i&gt; (Indonesia, 2022), https://dsnmui.or.id/kategori/fatwa/."},"properties":{"noteIndex":0},"schema":"https://github.com/citation-style-language/schema/raw/master/csl-citation.json"}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Dewan Syariah Nasional – Majelis Ulama Indonesia, “Fatwa,” </w:t>
      </w:r>
      <w:r w:rsidRPr="000D5261">
        <w:rPr>
          <w:rFonts w:ascii="Garamond" w:hAnsi="Garamond"/>
          <w:i/>
          <w:noProof/>
        </w:rPr>
        <w:t>DSN MUI</w:t>
      </w:r>
      <w:r w:rsidRPr="000D5261">
        <w:rPr>
          <w:rFonts w:ascii="Garamond" w:hAnsi="Garamond"/>
          <w:noProof/>
        </w:rPr>
        <w:t xml:space="preserve"> (Indonesia, 2022), https://dsnmui.or.id/kategori/fatwa/.</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59">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{"citationItems":[{"id":"ITEM-1","itemData":{"URL":"https://drive.google.com/file/d/1Fxu7L83m1qDUM84fvsrQN3iwEjaxeRLEy/view","author":[{"dropping-particle":"","family":"Nasional-MUI","given":"Dewan Syariah","non-dropping-particle":"","parse-names":false,"suffix":""}],"container-title":"dsnmui.or.id","id":"ITEM-1","issued":{"date-parts":[["2017"]]},"page":"12","title":"Fatwa DSN-MUI NO: 116/DSN-MUI/IX/2017 tentang uang elektronik syariah","type":"webpage"},"uris":["http://www.mendeley.com/documents/?uuid=f5a148a3-4c14-4f5b-b1f2-c08d0419ac85"]}],"mendeley":{"formattedCitation":"Dewan Syariah Nasional-MUI, “Fatwa DSN-MUI NO: 116/DSN-MUI/IX/2017 Tentang Uang Elektronik Syariah,” &lt;i&gt;Dsnmui.or.Id&lt;/i&gt;, 2017, https://drive.google.com/file/d/1Fxu7L83m1qDUM84fvsrQN3iwEjaxeRLEy/view.","plainTextFormattedCitation":"Dewan Syariah Nasional-MUI, “Fatwa DSN-MUI NO: 116/DSN-MUI/IX/2017 Tentang Uang Elektronik Syariah,” Dsnmui.or.Id, 2017, https://drive.google.com/file/d/1Fxu7L83m1qDUM84fvsrQN3iwEjaxeRLEy/view.","previouslyFormattedCitation":"Dewan Syariah Nasional-MUI, “Fatwa DSN-MUI NO: 116/DSN-MUI/IX/2017 Tentang Uang Elektronik Syariah,” &lt;i&gt;Dsnmui.or.Id&lt;/i&gt;, 2017, https://drive.google.com/file/d/1Fxu7L83m1qDUM84fvsrQN3iwEjaxeRLEy/view."},"properties":{"noteIndex":0},"schema":"https://github.com/citation-style-language/schema/raw/master/csl-citation.json"}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Dewan Syariah Nasional-MUI, “Fatwa DSN-MUI NO: 116/DSN-MUI/IX/2017 Tentang Uang Elektronik Syariah,” </w:t>
      </w:r>
      <w:r w:rsidRPr="000D5261">
        <w:rPr>
          <w:rFonts w:ascii="Garamond" w:hAnsi="Garamond"/>
          <w:i/>
          <w:noProof/>
        </w:rPr>
        <w:t>Dsnmui.or.Id</w:t>
      </w:r>
      <w:r w:rsidRPr="000D5261">
        <w:rPr>
          <w:rFonts w:ascii="Garamond" w:hAnsi="Garamond"/>
          <w:noProof/>
        </w:rPr>
        <w:t>, 2017, https://drive.google.com/file/d/1Fxu7L83m1qDUM84fvsrQN3iwEjaxeRLEy/view.</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60">
    <w:p w:rsidR="00B97014" w:rsidRPr="000D5261" w:rsidRDefault="00B97014" w:rsidP="004A1695">
      <w:pPr>
        <w:pStyle w:val="EndnoteText"/>
        <w:jc w:val="both"/>
        <w:rPr>
          <w:rFonts w:ascii="Garamond" w:hAnsi="Garamond"/>
          <w:lang w:val="en-US"/>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{"citationItems":[{"id":"ITEM-1","itemData":{"author":[{"dropping-particle":"","family":"Ismail","given":"Iffatul Umniati","non-dropping-particle":"","parse-names":false,"suffix":""}],"container-title":"Media Syariah","id":"ITEM-1","issue":"1","issued":{"date-parts":[["2011"]]},"page":"73-82","title":"Telaah kritis metodologi istinbath MUI (studi kasus fatwa tentang golput)","type":"article-journal","volume":"13"},"uris":["http://www.mendeley.com/documents/?uuid=02b76513-6eda-41f4-a857-d1d012cd2e66"]}],"mendeley":{"formattedCitation":"Iffatul Umniati Ismail, “Telaah Kritis Metodologi Istinbath MUI (Studi Kasus Fatwa Tentang Golput),” &lt;i&gt;Media Syariah&lt;/i&gt; 13, no. 1 (2011): 73–82, https://core.ac.uk/download/pdf/228446265.pdf.","plainTextFormattedCitation":"Iffatul Umniati Ismail, “Telaah Kritis Metodologi Istinbath MUI (Studi Kasus Fatwa Tentang Golput),” Media Syariah 13, no. 1 (2011): 73–82, https://core.ac.uk/download/pdf/228446265.pdf.","previouslyFormattedCitation":"Iffatul Umniati Ismail, “Telaah Kritis Metodologi Istinbath MUI (Studi Kasus Fatwa Tentang Golput),” &lt;i&gt;Media Syariah&lt;/i&gt; 13, no. 1 (2011): 73–82, https://core.ac.uk/download/pdf/228446265.pdf."},"properties":{"noteIndex":0},"schema":"https://github.com/citation-style-language/schema/raw/master/csl-citation.json"}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Iffatul Umniati Ismail, “Telaah Kritis Metodologi Istinbath MUI (Studi Kasus Fatwa Tentang Golput),” </w:t>
      </w:r>
      <w:r w:rsidRPr="000D5261">
        <w:rPr>
          <w:rFonts w:ascii="Garamond" w:hAnsi="Garamond"/>
          <w:i/>
          <w:noProof/>
        </w:rPr>
        <w:t>Media Syariah</w:t>
      </w:r>
      <w:r w:rsidRPr="000D5261">
        <w:rPr>
          <w:rFonts w:ascii="Garamond" w:hAnsi="Garamond"/>
          <w:noProof/>
        </w:rPr>
        <w:t xml:space="preserve"> 13, no. 1 (2011): 73–82, https://core.ac.uk/download/pdf/228446265.pdf.</w:t>
      </w:r>
      <w:r w:rsidRPr="000D5261">
        <w:rPr>
          <w:rFonts w:ascii="Garamond" w:hAnsi="Garamond"/>
        </w:rPr>
        <w:fldChar w:fldCharType="end"/>
      </w:r>
    </w:p>
  </w:endnote>
  <w:endnote w:id="61">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t xml:space="preserve"> </w:t>
      </w:r>
      <w:r w:rsidRPr="000D5261">
        <w:rPr>
          <w:rFonts w:ascii="Garamond" w:hAnsi="Garamond"/>
        </w:rPr>
        <w:fldChar w:fldCharType="begin" w:fldLock="1"/>
      </w:r>
      <w:r w:rsidRPr="000D5261">
        <w:rPr>
          <w:rFonts w:ascii="Garamond" w:hAnsi="Garamond"/>
        </w:rPr>
        <w:instrText>ADDIN CSL_CITATION {"citationItems":[{"id":"ITEM-1","itemData":{"DOI":"10.35194/eeki.v2i1.1882.g1562","abstract":"Financial technologi sudah pasti dalam perkembangannya yang selalu bedampingan dengan ekonomi. Namun dalam penelitian ini menggunakan prinsip ekonomi islam. Tujuan dilakukan penelitian ini adalah untuk membahas bagaimana financial technologi bisa dikembangkan sesuai dengan syariat ajaran agama islam. Financial technologi ini sangat berpengaruh dengan perkembangan zaman yang dimana perkembangan ini juga menuntut teknologi untuk terus berkembang. Terlebih mayoritas penduduk di dunia ini beragama islam, maka akan sangat mempengaruhi keyakinan umat muslim dengan transisi perkembangan financial technologi agar tidak terlepas dari ajaran agama islam. Dalam penelitian ini metode yang dipakai adalah pendekatan kepustakaan dengan melakukan riset data yang di dapatkan dari berbagai literature jurnal sebelumnya yang memiliki kaitan dengan perkembangan financial technologi berdasarkan ekonomi islam. Berdasarkan penelitian ini ditemukan bahwa fintech bermanfaat dan dirasa aman oleh masyarakat yang menggunakannya. Terutama dalam pengusaha UMKM yang membutuhkan pembiayaan atau pendanaan karena tidak diberatkan dengan bunga dan kewajiban membayar setiap bulan yang dimana jika membayar terlambat akan diberikan denda oleh pihak bank. Fintech juga memiliki payung hukum dalam Al-Quran dan Sunnah yang berhubungan dengan Maqashid Syariah selain itu payung hukum fintech sendiri diatur oleh negara sehingga keamanannya sangat terjamin dalam kehidupan dunia ataupun akhirat.","author":[{"dropping-particle":"","family":"Yanti","given":"Caroline Chiko Meyrisma","non-dropping-particle":"","parse-names":false,"suffix":""}],"container-title":"El-Ecosy: Ekonomi dan Keuangan Islam","id":"ITEM-1","issue":"1","issued":{"date-parts":[["2022"]]},"page":"1-15","title":"Penerapan fintech syariah dalam pengembangan ekonomi Islam","type":"article-journal","volume":"2"},"uris":["http://www.mendeley.com/documents/?uuid=219e8089-d677-4669-ac20-236a7285f02d"]}],"mendeley":{"formattedCitation":"Caroline Chiko Meyrisma Yanti, “Penerapan Fintech Syariah Dalam Pengembangan Ekonomi Islam,” &lt;i&gt;El-Ecosy: Ekonomi Dan Keuangan Islam&lt;/i&gt; 2, no. 1 (2022): 1–15, doi:10.35194/eeki.v2i1.1882.g1562.","plainTextFormattedCitation":"Caroline Chiko Meyrisma Yanti, “Penerapan Fintech Syariah Dalam Pengembangan Ekonomi Islam,” El-Ecosy: Ekonomi Dan Keuangan Islam 2, no. 1 (2022): 1–15, doi:10.35194/eeki.v2i1.1882.g1562.","previouslyFormattedCitation":"Caroline Chiko Meyrisma Yanti, “Penerapan Fintech Syariah Dalam Pengembangan Ekonomi Islam,” &lt;i&gt;El-Ecosy: Ekonomi Dan Keuangan Islam&lt;/i&gt; 2, no. 1 (2022): 1–15, doi:10.35194/eeki.v2i1.1882.g1562."},"properties":{"noteIndex":0},"schema":"https://github.com/citation-style-language/schema/raw/master/csl-citation.json"}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Caroline Chiko Meyrisma Yanti, “Penerapan Fintech Syariah Dalam Pengembangan Ekonomi Islam,” </w:t>
      </w:r>
      <w:r w:rsidRPr="000D5261">
        <w:rPr>
          <w:rFonts w:ascii="Garamond" w:hAnsi="Garamond"/>
          <w:i/>
          <w:noProof/>
        </w:rPr>
        <w:t>El-Ecosy: Ekonomi Dan Keuangan Islam</w:t>
      </w:r>
      <w:r w:rsidRPr="000D5261">
        <w:rPr>
          <w:rFonts w:ascii="Garamond" w:hAnsi="Garamond"/>
          <w:noProof/>
        </w:rPr>
        <w:t xml:space="preserve"> 2, no. 1 (2022): 1–15, doi:10.35194/eeki.v2i1.1882.g1562.</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62">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{"citationItems":[{"id":"ITEM-1","itemData":{"DOI":"10.24252/el-iqthisadi.v3i1%20Juni.22142","abstract":"Penelitian ini membahas tentang mekanisme transaksi e-money berdasarkan Peraturan Bank Indonesia Nomor 20/06/Pbi/2018 mulai dari alur transaksi uang elektronik, pengawasan uang elektronik itu sendiri, hingga digunakannya sebagai alat pembayaran dalam transaksi perdagangan, dikaitkan perspektif hukum Islam dengan maksud mengetahui apakah mekanisme yang ada dalam proses transaksi menggunakan e-money sudah sejalan dengan ajaran Islam, baik dari segi akad dan transaksinya sehingga tidak memberikan pemahaman dan menjawab permasalahan yang berkaitan dengan e-money dalam perspektif hukum Islam. Jenis Penelitian ini adalah penelitian library research, yaitu data dikumpulkan, menyusun, mengklarifikasi, serta mengkaji pokok masalah, kemudian menguraikannya melalui literature atau referensi yang berkaitan dengan judul penelitian ini. Hasil penelitian ini menunjukkan bahwa penggunaan teknologi modern sebagai instrumen pembayaran non tunai telah berkembang pesat disertai dengan berbagai inovasi yang mengarah pada penggunaannya yang semakin efisien, aman, cepat dan nyaman, saat ini muncul inovasi pembayaran menggunakan uang elektronik (E-money) hal ini sejalan dengan peraturan Bank Indonesia Nomor20/06/PBI/2018 sebagai lembaga keuangan mempunyai kepentingan untuk memastikan alat pembayaran ini lebih aman, tidak mudah rusak, dan praktis dibawa kemana saja. Uang elektronik dalam Islam diperbolehkan sebagai alat pembayaran yang sesuai dengan prinsip syariah, beban layanan fasilitas berupa biaya riil dan harus disampaikan secara benar kepada pengguna uang elektronik menurut syariah dan undang-undang yang berlaku.","author":[{"dropping-particle":"","family":"Solihin","given":"Muh","non-dropping-particle":"","parse-names":false,"suffix":""},{"dropping-particle":"","family":"Raya","given":"Muhammad Yaasiin","non-dropping-particle":"","parse-names":false,"suffix":""}],"container-title":"El-Iqtishady: Jurnal Hukum Ekonomi Syari'ah","id":"ITEM-1","issue":"1","issued":{"date-parts":[["2021"]]},"page":"106-125","title":"Kedudukan e-money sebagai alat pembayaran dalam perspektif hukum Islam","type":"article-journal","volume":"3"},"uris":["http://www.mendeley.com/documents/?uuid=1053a079-85b2-45c7-aabe-6ebb1e1e0c9a"]}],"mendeley":{"formattedCitation":"Muh Solihin and Muhammad Yaasiin Raya, “Kedudukan E-Money Sebagai Alat Pembayaran Dalam Perspektif Hukum Islam,” &lt;i&gt;El-Iqtishady: Jurnal Hukum Ekonomi Syari’ah&lt;/i&gt; 3, no. 1 (2021): 106–25, doi:10.24252/el-iqthisadi.v3i1%20Juni.22142.","plainTextFormattedCitation":"Muh Solihin and Muhammad Yaasiin Raya, “Kedudukan E-Money Sebagai Alat Pembayaran Dalam Perspektif Hukum Islam,” El-Iqtishady: Jurnal Hukum Ekonomi Syari’ah 3, no. 1 (2021): 106–25, doi:10.24252/el-iqthisadi.v3i1%20Juni.22142.","previouslyFormattedCitation":"Muh Solihin and Muhammad Yaasiin Raya, “Kedudukan E-Money Sebagai Alat Pembayaran Dalam Perspektif Hukum Islam,” &lt;i&gt;El-Iqtishady: Jurnal Hukum Ekonomi Syari’ah&lt;/i&gt; 3, no. 1 (2021): 106–25, doi:10.24252/el-iqthisadi.v3i1%20Juni.22142."},"properties":{"noteIndex":0},"schema":"https://github.com/citation-style-language/schema/raw/master/csl-citation.json"}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 xml:space="preserve">Muh Solihin and Muhammad Yaasiin Raya, “Kedudukan E-Money Sebagai Alat Pembayaran Dalam Perspektif Hukum Islam,” </w:t>
      </w:r>
      <w:r w:rsidRPr="000D5261">
        <w:rPr>
          <w:rFonts w:ascii="Garamond" w:hAnsi="Garamond"/>
          <w:i/>
          <w:noProof/>
        </w:rPr>
        <w:t>El-Iqtishady: Jurnal Hukum Ekonomi Syari’ah</w:t>
      </w:r>
      <w:r w:rsidRPr="000D5261">
        <w:rPr>
          <w:rFonts w:ascii="Garamond" w:hAnsi="Garamond"/>
          <w:noProof/>
        </w:rPr>
        <w:t xml:space="preserve"> 3, no. 1 (2021): 106–25, doi:10.24252/el-iqthisadi.v3i1%20Juni.22142.</w:t>
      </w:r>
      <w:r w:rsidRPr="000D5261">
        <w:rPr>
          <w:rFonts w:ascii="Garamond" w:hAnsi="Garamond"/>
        </w:rPr>
        <w:fldChar w:fldCharType="end"/>
      </w:r>
    </w:p>
    <w:p w:rsidR="00B97014" w:rsidRPr="000D5261" w:rsidRDefault="00B97014" w:rsidP="004A1695">
      <w:pPr>
        <w:pStyle w:val="EndnoteText"/>
        <w:jc w:val="both"/>
        <w:rPr>
          <w:rFonts w:ascii="Garamond" w:hAnsi="Garamond"/>
          <w:lang w:val="en-US"/>
        </w:rPr>
      </w:pPr>
    </w:p>
  </w:endnote>
  <w:endnote w:id="63">
    <w:p w:rsidR="00B97014" w:rsidRPr="000D5261" w:rsidRDefault="00B97014" w:rsidP="004A1695">
      <w:pPr>
        <w:pStyle w:val="EndnoteText"/>
        <w:jc w:val="both"/>
        <w:rPr>
          <w:rFonts w:ascii="Garamond" w:hAnsi="Garamond"/>
          <w:rtl/>
          <w:lang w:val="en-US"/>
        </w:rPr>
      </w:pPr>
      <w:r w:rsidRPr="000D5261">
        <w:rPr>
          <w:rStyle w:val="EndnoteReference"/>
          <w:rFonts w:ascii="Garamond" w:hAnsi="Garamond"/>
        </w:rPr>
        <w:endnoteRef/>
      </w:r>
      <w:r w:rsidRPr="000D5261">
        <w:rPr>
          <w:rFonts w:ascii="Garamond" w:hAnsi="Garamond"/>
          <w:lang w:val="en-US"/>
        </w:rPr>
        <w:fldChar w:fldCharType="begin" w:fldLock="1"/>
      </w:r>
      <w:r w:rsidRPr="000D5261">
        <w:rPr>
          <w:rFonts w:ascii="Garamond" w:hAnsi="Garamond"/>
          <w:lang w:val="en-US"/>
        </w:rPr>
        <w:instrText>ADDIN CSL_CITATION {"citationItems":[{"id":"ITEM-1","itemData":{"author":[{"dropping-particle":"","family":"Nasioanal-MUI","given":"Dewan Syariah","non-dropping-particle":"","parse-names":false,"suffix":""}],"container-title":"dsnmui.or.id","id":"ITEM-1","issued":{"date-parts":[["0"]]},"title":"Fatwa DSN-MUI No. 98/DSN-MUI/XII/2015 tentang pedoman penyelenggaraan jaminan sosial kesehatan syariah","type":"webpage"},"uris":["http://www.mendeley.com/documents/?uuid=dbe7c057-7a03-4007-b8ac-0d234ce43d96"]}],"mendeley":{"formattedCitation":"Dewan Syariah Nasioanal-MUI, “Fatwa DSN-MUI No. 98/DSN-MUI/XII/2015 Tentang Pedoman Penyelenggaraan Jaminan Sosial Kesehatan Syariah,” &lt;i&gt;Dsnmui.or.Id&lt;/i&gt;, n.d.","plainTextFormattedCitation":"Dewan Syariah Nasioanal-MUI, “Fatwa DSN-MUI No. 98/DSN-MUI/XII/2015 Tentang Pedoman Penyelenggaraan Jaminan Sosial Kesehatan Syariah,” Dsnmui.or.Id, n.d.","previouslyFormattedCitation":"Dewan Syariah Nasioanal-MUI, “Fatwa DSN-MUI No. 98/DSN-MUI/XII/2015 Tentang Pedoman Penyelenggaraan Jaminan Sosial Kesehatan Syariah,” &lt;i&gt;Dsnmui.or.Id&lt;/i&gt;, n.d."},"properties":{"noteIndex":0},"schema":"https://github.com/citation-style-language/schema/raw/master/csl-citation.json"}</w:instrText>
      </w:r>
      <w:r w:rsidRPr="000D5261">
        <w:rPr>
          <w:rFonts w:ascii="Garamond" w:hAnsi="Garamond"/>
          <w:lang w:val="en-US"/>
        </w:rPr>
        <w:fldChar w:fldCharType="separate"/>
      </w:r>
      <w:r w:rsidRPr="000D5261">
        <w:rPr>
          <w:rFonts w:ascii="Garamond" w:hAnsi="Garamond"/>
          <w:noProof/>
          <w:lang w:val="en-US"/>
        </w:rPr>
        <w:t xml:space="preserve">Dewan Syariah Nasioanal-MUI, “Fatwa DSN-MUI No. 98/DSN-MUI/XII/2015 Tentang Pedoman Penyelenggaraan Jaminan Sosial Kesehatan Syariah,” </w:t>
      </w:r>
      <w:r w:rsidRPr="000D5261">
        <w:rPr>
          <w:rFonts w:ascii="Garamond" w:hAnsi="Garamond"/>
          <w:i/>
          <w:noProof/>
          <w:lang w:val="en-US"/>
        </w:rPr>
        <w:t>Dsnmui.or.Id</w:t>
      </w:r>
      <w:r w:rsidRPr="000D5261">
        <w:rPr>
          <w:rFonts w:ascii="Garamond" w:hAnsi="Garamond"/>
          <w:noProof/>
          <w:lang w:val="en-US"/>
        </w:rPr>
        <w:t>, n.d.</w:t>
      </w:r>
      <w:r w:rsidRPr="000D5261">
        <w:rPr>
          <w:rFonts w:ascii="Garamond" w:hAnsi="Garamond"/>
          <w:lang w:val="en-US"/>
        </w:rPr>
        <w:fldChar w:fldCharType="end"/>
      </w:r>
    </w:p>
    <w:p w:rsidR="00B97014" w:rsidRPr="000D5261" w:rsidRDefault="00B97014" w:rsidP="004A1695">
      <w:pPr>
        <w:pStyle w:val="EndnoteText"/>
        <w:jc w:val="both"/>
        <w:rPr>
          <w:rFonts w:ascii="Garamond" w:hAnsi="Garamond"/>
          <w:lang w:val="en-US"/>
        </w:rPr>
      </w:pPr>
    </w:p>
  </w:endnote>
  <w:endnote w:id="64">
    <w:p w:rsidR="00B97014" w:rsidRPr="000D5261" w:rsidRDefault="00B97014" w:rsidP="004A1695">
      <w:pPr>
        <w:pStyle w:val="EndnoteText"/>
        <w:jc w:val="both"/>
        <w:rPr>
          <w:rFonts w:ascii="Garamond" w:hAnsi="Garamond"/>
          <w:rtl/>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{"citationItems":[{"id":"ITEM-1","itemData":{"abstract":"Diah Wulandari, 2020. Praktik Penggunaan Dana yang Tidak Boleh Diakui Sebagai Pendapatan (TBDSP) di BMT Nurrohman Desa Janti Kecamatan Slahung Kabupaten Ponorogo dalam Perspektif Fatwa DSN MUI No.123/DSN-MUI /XI/2018. Skripsi. Jurusan Hukum Ekonomi Syariah Fakultas Syariah Institut Agama Islam Negeri (IAIN) Ponorogo. Pembimbing, Dr. Hj. Rohmah Maulidia, M.Ag. Fatwa DSN adalah fatwa yang dikeluarkan oleh dewan yang dibentuk oleh MUI untuk menangani masalah-masalah yang berhubungan dengan aktivitas lembaga keuangan syariah. Salah satu fatwa yang mengatur mengenai lembaga keuangan syariah adalah fatwa DSN-MUI No.123/XI/2018 tentang penggunaan dana yang tidak boleh diakui sebagai pendapatan bagi lembaga keuangan syariah. BMT Nurrohman merupakan lembaga keuangan syariah yang mempunyai dana yang tidak boleh diakui sebagai pendapatan yaitu berasal dari bunga dan denda. Dana yang tidak boleh diakui sebagai pendapatan wajib digunakan dan disalurkan secara langsung untuk kemaslahatan umat Islam dan kepentingan umum yang tidak bertentangan dengan prinsip syariah. Setiap penggunaan dan penyaluran dana harus mendapatkan persetujuan atau opini dari Dewan Pengawas Syariah (DPS). Rumusan masalah dalam penelitian ini adalah: (1) Bagaimana analisis Fatwa No.123/DSN-MUI/XI/2018 terhadap penggunaan dana yang tidak boleh diakui sebagai pendapatan bagi lembaga keuangan syariah di BMT Nurrohman Janti Slahung? (2) Bagaimana analisis Fatwa No.123/DSN-MUI/XI/2018 terhadap prosedur Dewan Pengawas Syariah dalam penggunaan dana yang tidak boleh diakui sebagai pendapatan bagi lembaga keuangan syariah di BMT Nurrohman Janti Slahung? Adapun jenis penelitian yang dilakukan penulis merupakan penelitian lapangan yang menggunakan, metode kualitatif. Sedangkan teknik pengumpulan data yang dilakukan adalah menggunakan observasi, wawancara dan dokumentasi. Analisis yang digunakan menggunakan metode induktif dan deduktif. Dari penelitian ini dapat disimpulkan bahwa: 1. Penggunaan dana TBDSP di BMT Nurrohman digunakan kembali untuk kegiatan operasional BMT. Hal ini tidak sesuai dengan fatwa DSN No.123/DSN-MUI/XI/2018 yang berbunyi “dana TBDSP wajib digunakan dan disalurkan secara langsung untuk kemaslahatan umat Islam dan kepentingan umum yang tidak bertentangan dengan prinsip syariah”. 2. Prosedur DPS dalam pengalokasian dana TBDSP sudah sesuai dengan fatwa DSN No.123/DSN-MUI/XI/2018 yang berbunyi “Setiap penggunaan dan penyaluran Dana TBDSP harus mendapatkan persetujuan atau opini dari Dewan…","author":[{"dropping-particle":"","family":"Wulandari","given":"Diah","non-dropping-particle":"","parse-names":false,"suffix":""}],"id":"ITEM-1","issued":{"date-parts":[["2020"]]},"number-of-pages":"89","publisher":"IAIN Ponorogo","title":"Praktik penggunaan dana yang tidak boleh diakui sebagai pendapatan (TBDSP) di BMT Nurrohman Desa Janti Kecamatan Slahung Kabupaten Ponorogo dalam perspektif fatwa DSN MUI No. 123/DSN-MUI/XI/2018","type":"thesis"},"uris":["http://www.mendeley.com/documents/?uuid=47cb3dd3-a357-4923-9319-96ee417265d7"]}],"mendeley":{"formattedCitation":"Diah Wulandari, “Praktik Penggunaan Dana Yang Tidak Boleh Diakui Sebagai Pendapatan (TBDSP) Di BMT Nurrohman Desa Janti Kecamatan Slahung Kabupaten Ponorogo Dalam Perspektif Fatwa DSN MUI No. 123/DSN-MUI/XI/2018” (IAIN Ponorogo, 2020), http://etheses.iainponorogo.ac.id/id/eprint/10442.","plainTextFormattedCitation":"Diah Wulandari, “Praktik Penggunaan Dana Yang Tidak Boleh Diakui Sebagai Pendapatan (TBDSP) Di BMT Nurrohman Desa Janti Kecamatan Slahung Kabupaten Ponorogo Dalam Perspektif Fatwa DSN MUI No. 123/DSN-MUI/XI/2018” (IAIN Ponorogo, 2020), http://etheses.iainponorogo.ac.id/id/eprint/10442.","previouslyFormattedCitation":"Diah Wulandari, “Praktik Penggunaan Dana Yang Tidak Boleh Diakui Sebagai Pendapatan (TBDSP) Di BMT Nurrohman Desa Janti Kecamatan Slahung Kabupaten Ponorogo Dalam Perspektif Fatwa DSN MUI No. 123/DSN-MUI/XI/2018” (IAIN Ponorogo, 2020), http://etheses.iainponorogo.ac.id/id/eprint/10442."},"properties":{"noteIndex":0},"schema":"https://github.com/citation-style-language/schema/raw/master/csl-citation.json"}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Diah Wulandari, “Praktik Penggunaan Dana Yang Tidak Boleh Diakui Sebagai Pendapatan (TBDSP) Di BMT Nurrohman Desa Janti Kecamatan Slahung Kabupaten Ponorogo Dalam Perspektif Fatwa DSN MUI No. 123/DSN-MUI/XI/2018” (IAIN Ponorogo, 2020), http://etheses.iainponorogo.ac.id/id/eprint/10442.</w:t>
      </w:r>
      <w:r w:rsidRPr="000D5261">
        <w:rPr>
          <w:rFonts w:ascii="Garamond" w:hAnsi="Garamond"/>
        </w:rPr>
        <w:fldChar w:fldCharType="end"/>
      </w:r>
    </w:p>
    <w:p w:rsidR="00B97014" w:rsidRPr="000D5261" w:rsidRDefault="00B97014" w:rsidP="004A1695">
      <w:pPr>
        <w:pStyle w:val="EndnoteText"/>
        <w:jc w:val="both"/>
        <w:rPr>
          <w:rFonts w:ascii="Garamond" w:hAnsi="Garamond"/>
        </w:rPr>
      </w:pPr>
    </w:p>
  </w:endnote>
  <w:endnote w:id="65">
    <w:p w:rsidR="00B97014" w:rsidRPr="000D5261" w:rsidRDefault="00B97014" w:rsidP="004A1695">
      <w:pPr>
        <w:pStyle w:val="EndnoteText"/>
        <w:jc w:val="both"/>
        <w:rPr>
          <w:rFonts w:ascii="Garamond" w:hAnsi="Garamond"/>
        </w:rPr>
      </w:pPr>
      <w:r w:rsidRPr="000D5261">
        <w:rPr>
          <w:rStyle w:val="EndnoteReference"/>
          <w:rFonts w:ascii="Garamond" w:hAnsi="Garamond"/>
        </w:rPr>
        <w:endnoteRef/>
      </w:r>
      <w:r w:rsidRPr="000D5261">
        <w:rPr>
          <w:rFonts w:ascii="Garamond" w:hAnsi="Garamond"/>
        </w:rPr>
        <w:fldChar w:fldCharType="begin" w:fldLock="1"/>
      </w:r>
      <w:r w:rsidRPr="000D5261">
        <w:rPr>
          <w:rFonts w:ascii="Garamond" w:hAnsi="Garamond"/>
        </w:rPr>
        <w:instrText>ADDIN CSL_CITATION {"citationItems":[{"id":"ITEM-1","itemData":{"URL":"https://drive.google.com/file/d/1ueeutJQGmvFEvYLADqySzeBx_cs2dkde/view","accessed":{"date-parts":[["2022","7","17"]]},"author":[{"dropping-particle":"","family":"Nasional-MUI","given":"Dewan Syariah","non-dropping-particle":"","parse-names":false,"suffix":""}],"id":"ITEM-1","issued":{"date-parts":[["2018"]]},"title":"Fatwa DSN-MUI No. 123/DSN-MUI/XI/2018 Tentang Penggunaan Dana yang Tidak Boleh Diakui Sebagai Pendapatan Bagi Lembaga Keuangan Syariah, Lembaga Bisnis Syariah dan Lembaga Perekonomian Syariah","type":"webpage"},"uris":["http://www.mendeley.com/documents/?uuid=de63eda6-4493-4d66-9bd9-53656ff2ab56"]}],"mendeley":{"formattedCitation":"Dewan Syariah Nasional-MUI, “Fatwa DSN-MUI No. 123/DSN-MUI/XI/2018 Tentang Penggunaan Dana Yang Tidak Boleh Diakui Sebagai Pendapatan Bagi Lembaga Keuangan Syariah, Lembaga Bisnis Syariah Dan Lembaga Perekonomian Syariah,” 2018, https://drive.google.com/file/d/1ueeutJQGmvFEvYLADqySzeBx_cs2dkde/view.","plainTextFormattedCitation":"Dewan Syariah Nasional-MUI, “Fatwa DSN-MUI No. 123/DSN-MUI/XI/2018 Tentang Penggunaan Dana Yang Tidak Boleh Diakui Sebagai Pendapatan Bagi Lembaga Keuangan Syariah, Lembaga Bisnis Syariah Dan Lembaga Perekonomian Syariah,” 2018, https://drive.google.com/file/d/1ueeutJQGmvFEvYLADqySzeBx_cs2dkde/view."},"properties":{"noteIndex":0},"schema":"https://github.com/citation-style-language/schema/raw/master/csl-citation.json"}</w:instrText>
      </w:r>
      <w:r w:rsidRPr="000D5261">
        <w:rPr>
          <w:rFonts w:ascii="Garamond" w:hAnsi="Garamond"/>
        </w:rPr>
        <w:fldChar w:fldCharType="separate"/>
      </w:r>
      <w:r w:rsidRPr="000D5261">
        <w:rPr>
          <w:rFonts w:ascii="Garamond" w:hAnsi="Garamond"/>
          <w:noProof/>
        </w:rPr>
        <w:t>Dewan Syariah Nasional-MUI, “Fatwa DSN-MUI No. 123/DSN-MUI/XI/2018 Tentang Penggunaan Dana Yang Tidak Boleh Diakui Sebagai Pendapatan Bagi Lembaga Keuangan Syariah, Lembaga Bisnis Syariah Dan Lembaga Perekonomian Syariah,” 2018, https://drive.google.com/file/d/1ueeutJQGmvFEvYLADqySzeBx_cs2dkde/view.</w:t>
      </w:r>
      <w:r w:rsidRPr="000D5261">
        <w:rPr>
          <w:rFonts w:ascii="Garamond" w:hAnsi="Garamond"/>
        </w:rPr>
        <w:fldChar w:fldCharType="end"/>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Bold">
    <w:altName w:val="Garamond"/>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akkal Majalla">
    <w:panose1 w:val="02000000000000000000"/>
    <w:charset w:val="00"/>
    <w:family w:val="auto"/>
    <w:pitch w:val="variable"/>
    <w:sig w:usb0="A0002027" w:usb1="80000000" w:usb2="00000108" w:usb3="00000000" w:csb0="000000D3"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opperplate Gothic Light">
    <w:panose1 w:val="020E0507020206020404"/>
    <w:charset w:val="00"/>
    <w:family w:val="swiss"/>
    <w:pitch w:val="variable"/>
    <w:sig w:usb0="00000003" w:usb1="00000000" w:usb2="00000000" w:usb3="00000000" w:csb0="00000001" w:csb1="00000000"/>
  </w:font>
  <w:font w:name="CopperplateGothic-Light">
    <w:altName w:val="Cambria"/>
    <w:panose1 w:val="00000000000000000000"/>
    <w:charset w:val="00"/>
    <w:family w:val="roman"/>
    <w:notTrueType/>
    <w:pitch w:val="default"/>
    <w:sig w:usb0="00000003" w:usb1="00000000" w:usb2="00000000" w:usb3="00000000" w:csb0="00000001" w:csb1="00000000"/>
  </w:font>
  <w:font w:name="Cambria-Ital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Pr="004A1695" w:rsidRDefault="00B97014" w:rsidP="005121A5">
    <w:pPr>
      <w:rPr>
        <w:rFonts w:ascii="Copperplate Gothic Light" w:hAnsi="Copperplate Gothic Light"/>
        <w:noProof/>
        <w:lang w:val="en-US"/>
      </w:rPr>
    </w:pPr>
    <w:r w:rsidRPr="004241D8">
      <w:rPr>
        <w:rFonts w:ascii="Copperplate Gothic Light" w:hAnsi="Copperplate Gothic Light"/>
        <w:sz w:val="40"/>
      </w:rPr>
      <w:fldChar w:fldCharType="begin"/>
    </w:r>
    <w:r w:rsidRPr="004241D8">
      <w:rPr>
        <w:rFonts w:ascii="Copperplate Gothic Light" w:hAnsi="Copperplate Gothic Light"/>
        <w:sz w:val="40"/>
      </w:rPr>
      <w:instrText xml:space="preserve"> PAGE   \* MERGEFORMAT </w:instrText>
    </w:r>
    <w:r w:rsidRPr="004241D8">
      <w:rPr>
        <w:rFonts w:ascii="Copperplate Gothic Light" w:hAnsi="Copperplate Gothic Light"/>
        <w:sz w:val="40"/>
      </w:rPr>
      <w:fldChar w:fldCharType="separate"/>
    </w:r>
    <w:r>
      <w:rPr>
        <w:rFonts w:ascii="Copperplate Gothic Light" w:hAnsi="Copperplate Gothic Light"/>
        <w:noProof/>
        <w:sz w:val="40"/>
      </w:rPr>
      <w:t>156</w:t>
    </w:r>
    <w:r w:rsidRPr="004241D8">
      <w:rPr>
        <w:rFonts w:ascii="Copperplate Gothic Light" w:hAnsi="Copperplate Gothic Light"/>
        <w:noProof/>
        <w:sz w:val="40"/>
      </w:rPr>
      <w:fldChar w:fldCharType="end"/>
    </w:r>
    <w:r>
      <w:rPr>
        <w:rFonts w:ascii="Copperplate Gothic Light" w:hAnsi="Copperplate Gothic Light"/>
        <w:noProof/>
        <w:sz w:val="40"/>
        <w:lang w:val="en-US"/>
      </w:rPr>
      <w:t xml:space="preserve"> </w:t>
    </w:r>
    <w:r w:rsidRPr="00971E3B">
      <w:rPr>
        <w:rFonts w:ascii="Copperplate Gothic Light" w:hAnsi="Copperplate Gothic Light" w:cs="CopperplateGothic-Light"/>
        <w:sz w:val="28"/>
        <w:szCs w:val="28"/>
      </w:rPr>
      <w:t>AL-WIJDÁN,</w:t>
    </w:r>
    <w:r w:rsidRPr="00971E3B">
      <w:rPr>
        <w:rFonts w:ascii="Copperplate Gothic Light" w:hAnsi="Copperplate Gothic Light" w:cs="CopperplateGothic-Light"/>
        <w:sz w:val="24"/>
        <w:szCs w:val="24"/>
      </w:rPr>
      <w:t xml:space="preserve"> </w:t>
    </w:r>
    <w:r>
      <w:rPr>
        <w:rFonts w:ascii="Copperplate Gothic Light" w:hAnsi="Copperplate Gothic Light" w:cs="CopperplateGothic-Light"/>
        <w:sz w:val="24"/>
        <w:szCs w:val="20"/>
      </w:rPr>
      <w:t>Volume VI</w:t>
    </w:r>
    <w:r>
      <w:rPr>
        <w:rFonts w:ascii="Copperplate Gothic Light" w:hAnsi="Copperplate Gothic Light" w:cs="CopperplateGothic-Light"/>
        <w:sz w:val="24"/>
        <w:szCs w:val="20"/>
        <w:lang w:val="en-US"/>
      </w:rPr>
      <w:t>I</w:t>
    </w:r>
    <w:r w:rsidRPr="00971E3B">
      <w:rPr>
        <w:rFonts w:ascii="Copperplate Gothic Light" w:hAnsi="Copperplate Gothic Light" w:cs="CopperplateGothic-Light"/>
        <w:sz w:val="24"/>
        <w:szCs w:val="20"/>
      </w:rPr>
      <w:t xml:space="preserve">, Nomor </w:t>
    </w:r>
    <w:r>
      <w:rPr>
        <w:rFonts w:ascii="Copperplate Gothic Light" w:hAnsi="Copperplate Gothic Light" w:cs="CopperplateGothic-Light"/>
        <w:sz w:val="24"/>
        <w:szCs w:val="20"/>
        <w:lang w:val="en-US"/>
      </w:rPr>
      <w:t>2</w:t>
    </w:r>
    <w:r w:rsidRPr="00971E3B">
      <w:rPr>
        <w:rFonts w:ascii="Copperplate Gothic Light" w:hAnsi="Copperplate Gothic Light" w:cs="CopperplateGothic-Light"/>
        <w:sz w:val="24"/>
        <w:szCs w:val="20"/>
      </w:rPr>
      <w:t xml:space="preserve">, </w:t>
    </w:r>
    <w:r>
      <w:rPr>
        <w:rFonts w:ascii="Copperplate Gothic Light" w:hAnsi="Copperplate Gothic Light" w:cs="CopperplateGothic-Light"/>
        <w:sz w:val="24"/>
        <w:szCs w:val="20"/>
      </w:rPr>
      <w:t xml:space="preserve"> </w:t>
    </w:r>
    <w:r>
      <w:rPr>
        <w:rFonts w:ascii="Copperplate Gothic Light" w:hAnsi="Copperplate Gothic Light" w:cs="CopperplateGothic-Light"/>
        <w:sz w:val="24"/>
        <w:szCs w:val="20"/>
        <w:lang w:val="en-US"/>
      </w:rPr>
      <w:t xml:space="preserve">November </w:t>
    </w:r>
    <w:r>
      <w:rPr>
        <w:rFonts w:ascii="Copperplate Gothic Light" w:hAnsi="Copperplate Gothic Light" w:cs="CopperplateGothic-Light"/>
        <w:sz w:val="24"/>
        <w:szCs w:val="20"/>
      </w:rPr>
      <w:t>202</w:t>
    </w:r>
    <w:r>
      <w:rPr>
        <w:rFonts w:ascii="Copperplate Gothic Light" w:hAnsi="Copperplate Gothic Light" w:cs="CopperplateGothic-Light"/>
        <w:sz w:val="24"/>
        <w:szCs w:val="20"/>
        <w:lang w:val="en-US"/>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Pr="004241D8" w:rsidRDefault="00B97014" w:rsidP="004A1695">
    <w:pPr>
      <w:pStyle w:val="Footer"/>
      <w:jc w:val="right"/>
      <w:rPr>
        <w:rFonts w:ascii="Copperplate Gothic Light" w:hAnsi="Copperplate Gothic Light"/>
        <w:sz w:val="40"/>
      </w:rPr>
    </w:pPr>
    <w:r>
      <w:rPr>
        <w:rFonts w:ascii="Copperplate Gothic Light" w:hAnsi="Copperplate Gothic Light" w:cs="CopperplateGothic-Light"/>
        <w:sz w:val="24"/>
        <w:szCs w:val="24"/>
      </w:rPr>
      <w:t xml:space="preserve">Volume </w:t>
    </w:r>
    <w:r>
      <w:rPr>
        <w:rFonts w:ascii="Copperplate Gothic Light" w:hAnsi="Copperplate Gothic Light" w:cs="CopperplateGothic-Light"/>
        <w:sz w:val="24"/>
        <w:szCs w:val="24"/>
        <w:lang w:val="en-US"/>
      </w:rPr>
      <w:t>VII</w:t>
    </w:r>
    <w:r>
      <w:rPr>
        <w:rFonts w:ascii="Copperplate Gothic Light" w:hAnsi="Copperplate Gothic Light" w:cs="CopperplateGothic-Light"/>
        <w:sz w:val="24"/>
        <w:szCs w:val="24"/>
      </w:rPr>
      <w:t>, Nomor</w:t>
    </w:r>
    <w:r>
      <w:rPr>
        <w:rFonts w:ascii="Copperplate Gothic Light" w:hAnsi="Copperplate Gothic Light" w:cs="CopperplateGothic-Light"/>
        <w:sz w:val="24"/>
        <w:szCs w:val="24"/>
        <w:lang w:val="en-US"/>
      </w:rPr>
      <w:t xml:space="preserve"> 2</w:t>
    </w:r>
    <w:r w:rsidRPr="00971E3B">
      <w:rPr>
        <w:rFonts w:ascii="Copperplate Gothic Light" w:hAnsi="Copperplate Gothic Light" w:cs="CopperplateGothic-Light"/>
        <w:sz w:val="24"/>
        <w:szCs w:val="24"/>
      </w:rPr>
      <w:t xml:space="preserve">, </w:t>
    </w:r>
    <w:r>
      <w:rPr>
        <w:rFonts w:ascii="Copperplate Gothic Light" w:hAnsi="Copperplate Gothic Light" w:cs="CopperplateGothic-Light"/>
        <w:sz w:val="24"/>
        <w:szCs w:val="24"/>
        <w:lang w:val="en-US"/>
      </w:rPr>
      <w:t>November 2022</w:t>
    </w:r>
    <w:r w:rsidRPr="00971E3B">
      <w:rPr>
        <w:rFonts w:ascii="Copperplate Gothic Light" w:hAnsi="Copperplate Gothic Light" w:cs="CopperplateGothic-Light"/>
        <w:sz w:val="24"/>
        <w:szCs w:val="24"/>
      </w:rPr>
      <w:t>,</w:t>
    </w:r>
    <w:r w:rsidRPr="00971E3B">
      <w:rPr>
        <w:rFonts w:ascii="Copperplate Gothic Light" w:hAnsi="Copperplate Gothic Light" w:cs="CopperplateGothic-Light"/>
      </w:rPr>
      <w:t xml:space="preserve"> </w:t>
    </w:r>
    <w:r w:rsidRPr="00971E3B">
      <w:rPr>
        <w:rFonts w:ascii="Copperplate Gothic Light" w:hAnsi="Copperplate Gothic Light" w:cs="CopperplateGothic-Light"/>
        <w:sz w:val="28"/>
        <w:szCs w:val="28"/>
      </w:rPr>
      <w:t>AL-WIJDÁN</w:t>
    </w:r>
    <w:r w:rsidRPr="004241D8">
      <w:rPr>
        <w:rFonts w:ascii="Copperplate Gothic Light" w:hAnsi="Copperplate Gothic Light"/>
        <w:sz w:val="40"/>
      </w:rPr>
      <w:t xml:space="preserve"> </w:t>
    </w:r>
    <w:r w:rsidRPr="004241D8">
      <w:rPr>
        <w:rFonts w:ascii="Copperplate Gothic Light" w:hAnsi="Copperplate Gothic Light"/>
        <w:sz w:val="40"/>
      </w:rPr>
      <w:fldChar w:fldCharType="begin"/>
    </w:r>
    <w:r w:rsidRPr="004241D8">
      <w:rPr>
        <w:rFonts w:ascii="Copperplate Gothic Light" w:hAnsi="Copperplate Gothic Light"/>
        <w:sz w:val="40"/>
      </w:rPr>
      <w:instrText xml:space="preserve"> PAGE   \* MERGEFORMAT </w:instrText>
    </w:r>
    <w:r w:rsidRPr="004241D8">
      <w:rPr>
        <w:rFonts w:ascii="Copperplate Gothic Light" w:hAnsi="Copperplate Gothic Light"/>
        <w:sz w:val="40"/>
      </w:rPr>
      <w:fldChar w:fldCharType="separate"/>
    </w:r>
    <w:r w:rsidR="00213DDF">
      <w:rPr>
        <w:rFonts w:ascii="Copperplate Gothic Light" w:hAnsi="Copperplate Gothic Light"/>
        <w:noProof/>
        <w:sz w:val="40"/>
      </w:rPr>
      <w:t>156</w:t>
    </w:r>
    <w:r w:rsidRPr="004241D8">
      <w:rPr>
        <w:rFonts w:ascii="Copperplate Gothic Light" w:hAnsi="Copperplate Gothic Light"/>
        <w:noProof/>
        <w:sz w:val="40"/>
      </w:rPr>
      <w:fldChar w:fldCharType="end"/>
    </w:r>
  </w:p>
  <w:p w:rsidR="00B97014" w:rsidRPr="00921448" w:rsidRDefault="00B97014" w:rsidP="008A78B1"/>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Default="00B970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7014" w:rsidRDefault="00B97014" w:rsidP="00615B07">
      <w:pPr>
        <w:spacing w:after="0" w:line="240" w:lineRule="auto"/>
      </w:pPr>
      <w:r>
        <w:separator/>
      </w:r>
    </w:p>
  </w:footnote>
  <w:footnote w:type="continuationSeparator" w:id="0">
    <w:p w:rsidR="00B97014" w:rsidRDefault="00B97014" w:rsidP="00615B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Pr="00F8677C" w:rsidRDefault="00B97014" w:rsidP="00B95351">
    <w:pPr>
      <w:pStyle w:val="Header"/>
      <w:rPr>
        <w:rFonts w:ascii="Copperplate Gothic Light" w:hAnsi="Copperplate Gothic Light"/>
        <w:sz w:val="24"/>
      </w:rPr>
    </w:pPr>
    <w:r>
      <w:rPr>
        <w:rFonts w:ascii="Copperplate Gothic Light" w:hAnsi="Copperplate Gothic Light"/>
        <w:color w:val="010101"/>
        <w:sz w:val="24"/>
        <w:szCs w:val="24"/>
        <w:lang w:val="it-IT"/>
      </w:rPr>
      <w:t>Sri Reski Wahyuni Nur, M. Abdul Kholiq Hasan, Imron Rosyadi</w:t>
    </w:r>
    <w:r w:rsidRPr="00F8677C">
      <w:rPr>
        <w:rFonts w:ascii="Copperplate Gothic Light" w:hAnsi="Copperplate Gothic Light"/>
        <w:sz w:val="24"/>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Pr="009F6DED" w:rsidRDefault="00B97014" w:rsidP="009F6DED">
    <w:pPr>
      <w:pStyle w:val="Header"/>
      <w:jc w:val="cent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7014" w:rsidRDefault="00B97014" w:rsidP="009F6DED">
    <w:pPr>
      <w:autoSpaceDE w:val="0"/>
      <w:autoSpaceDN w:val="0"/>
      <w:adjustRightInd w:val="0"/>
      <w:spacing w:line="240" w:lineRule="auto"/>
      <w:jc w:val="center"/>
      <w:rPr>
        <w:rFonts w:ascii="Cambria" w:hAnsi="Cambria" w:cs="Cambria"/>
      </w:rPr>
    </w:pPr>
    <w:r>
      <w:rPr>
        <w:caps/>
        <w:noProof/>
        <w:color w:val="4F81BD"/>
        <w:sz w:val="20"/>
        <w:lang w:val="en-US"/>
      </w:rPr>
      <w:drawing>
        <wp:inline distT="0" distB="0" distL="0" distR="0" wp14:anchorId="39DE8578" wp14:editId="28B32037">
          <wp:extent cx="16192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1200150"/>
                  </a:xfrm>
                  <a:prstGeom prst="rect">
                    <a:avLst/>
                  </a:prstGeom>
                  <a:noFill/>
                  <a:ln>
                    <a:noFill/>
                  </a:ln>
                </pic:spPr>
              </pic:pic>
            </a:graphicData>
          </a:graphic>
        </wp:inline>
      </w:drawing>
    </w:r>
  </w:p>
  <w:p w:rsidR="00B97014" w:rsidRPr="006311AA" w:rsidRDefault="00B97014" w:rsidP="009F6DED">
    <w:pPr>
      <w:autoSpaceDE w:val="0"/>
      <w:autoSpaceDN w:val="0"/>
      <w:adjustRightInd w:val="0"/>
      <w:spacing w:after="0" w:line="240" w:lineRule="auto"/>
      <w:jc w:val="center"/>
      <w:rPr>
        <w:rFonts w:ascii="Cambria" w:hAnsi="Cambria" w:cs="Cambria"/>
      </w:rPr>
    </w:pPr>
    <w:r w:rsidRPr="006311AA">
      <w:rPr>
        <w:rFonts w:ascii="Cambria" w:hAnsi="Cambria" w:cs="Cambria"/>
      </w:rPr>
      <w:t xml:space="preserve">AL-WIJDÁN: </w:t>
    </w:r>
    <w:r w:rsidRPr="006311AA">
      <w:rPr>
        <w:rFonts w:ascii="Cambria" w:hAnsi="Cambria" w:cs="Cambria-Italic"/>
        <w:i/>
        <w:iCs/>
      </w:rPr>
      <w:t>Journal of Islamic Education Studies</w:t>
    </w:r>
    <w:r w:rsidRPr="006311AA">
      <w:rPr>
        <w:rFonts w:ascii="Cambria" w:hAnsi="Cambria" w:cs="Cambria"/>
      </w:rPr>
      <w:t>.</w:t>
    </w:r>
  </w:p>
  <w:p w:rsidR="00B97014" w:rsidRPr="006311AA" w:rsidRDefault="00B97014" w:rsidP="000D5261">
    <w:pPr>
      <w:autoSpaceDE w:val="0"/>
      <w:autoSpaceDN w:val="0"/>
      <w:adjustRightInd w:val="0"/>
      <w:spacing w:after="0" w:line="240" w:lineRule="auto"/>
      <w:jc w:val="center"/>
      <w:rPr>
        <w:rFonts w:ascii="Cambria" w:hAnsi="Cambria" w:cs="Cambria"/>
      </w:rPr>
    </w:pPr>
    <w:r>
      <w:rPr>
        <w:rFonts w:ascii="Cambria" w:hAnsi="Cambria" w:cs="Cambria"/>
      </w:rPr>
      <w:t xml:space="preserve">Volume </w:t>
    </w:r>
    <w:r>
      <w:rPr>
        <w:rFonts w:ascii="Cambria" w:hAnsi="Cambria" w:cs="Cambria"/>
        <w:lang w:val="en-US"/>
      </w:rPr>
      <w:t xml:space="preserve">7, </w:t>
    </w:r>
    <w:proofErr w:type="spellStart"/>
    <w:r>
      <w:rPr>
        <w:rFonts w:ascii="Cambria" w:hAnsi="Cambria" w:cs="Cambria"/>
        <w:lang w:val="en-US"/>
      </w:rPr>
      <w:t>Nomor</w:t>
    </w:r>
    <w:proofErr w:type="spellEnd"/>
    <w:r>
      <w:rPr>
        <w:rFonts w:ascii="Cambria" w:hAnsi="Cambria" w:cs="Cambria"/>
        <w:lang w:val="en-US"/>
      </w:rPr>
      <w:t xml:space="preserve"> 2 </w:t>
    </w:r>
    <w:r>
      <w:rPr>
        <w:rFonts w:ascii="Cambria" w:hAnsi="Cambria"/>
        <w:sz w:val="24"/>
        <w:szCs w:val="24"/>
        <w:lang w:val="en-US"/>
      </w:rPr>
      <w:t>November 2022</w:t>
    </w:r>
    <w:r w:rsidRPr="006311AA">
      <w:rPr>
        <w:rFonts w:ascii="Cambria" w:hAnsi="Cambria" w:cs="Cambria"/>
      </w:rPr>
      <w:t>; p-ISSN: 2541-2051; online -ISSN: 2541-3961</w:t>
    </w:r>
  </w:p>
  <w:p w:rsidR="00B97014" w:rsidRDefault="00B97014" w:rsidP="009F6DED">
    <w:pPr>
      <w:pStyle w:val="Header"/>
      <w:jc w:val="center"/>
      <w:rPr>
        <w:rFonts w:ascii="Cambria" w:hAnsi="Cambria" w:cs="Cambria-Italic"/>
        <w:i/>
        <w:iCs/>
        <w:lang w:val="en-US"/>
      </w:rPr>
    </w:pPr>
    <w:r w:rsidRPr="006311AA">
      <w:rPr>
        <w:rFonts w:ascii="Cambria" w:hAnsi="Cambria" w:cs="Cambria-Italic"/>
        <w:i/>
        <w:iCs/>
      </w:rPr>
      <w:t xml:space="preserve">Available online at </w:t>
    </w:r>
    <w:hyperlink r:id="rId2" w:history="1">
      <w:r w:rsidRPr="006311AA">
        <w:rPr>
          <w:rStyle w:val="Hyperlink"/>
          <w:rFonts w:ascii="Cambria" w:hAnsi="Cambria" w:cs="Cambria-Italic"/>
          <w:i/>
          <w:iCs/>
        </w:rPr>
        <w:t>http://ejournal.uniramalang.ac.id/index.php/alwijdan</w:t>
      </w:r>
    </w:hyperlink>
  </w:p>
  <w:p w:rsidR="00B97014" w:rsidRPr="009F6DED" w:rsidRDefault="00B97014">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36C2B"/>
    <w:multiLevelType w:val="hybridMultilevel"/>
    <w:tmpl w:val="18224CC8"/>
    <w:lvl w:ilvl="0" w:tplc="AD32058C">
      <w:start w:val="1"/>
      <w:numFmt w:val="lowerLetter"/>
      <w:lvlText w:val="%1."/>
      <w:lvlJc w:val="left"/>
      <w:pPr>
        <w:ind w:left="2430" w:hanging="360"/>
      </w:pPr>
      <w:rPr>
        <w:rFonts w:cs="Times New Roman" w:hint="default"/>
      </w:rPr>
    </w:lvl>
    <w:lvl w:ilvl="1" w:tplc="04090019" w:tentative="1">
      <w:start w:val="1"/>
      <w:numFmt w:val="lowerLetter"/>
      <w:lvlText w:val="%2."/>
      <w:lvlJc w:val="left"/>
      <w:pPr>
        <w:ind w:left="3150" w:hanging="360"/>
      </w:pPr>
      <w:rPr>
        <w:rFonts w:cs="Times New Roman"/>
      </w:rPr>
    </w:lvl>
    <w:lvl w:ilvl="2" w:tplc="0409001B" w:tentative="1">
      <w:start w:val="1"/>
      <w:numFmt w:val="lowerRoman"/>
      <w:lvlText w:val="%3."/>
      <w:lvlJc w:val="right"/>
      <w:pPr>
        <w:ind w:left="3870" w:hanging="180"/>
      </w:pPr>
      <w:rPr>
        <w:rFonts w:cs="Times New Roman"/>
      </w:rPr>
    </w:lvl>
    <w:lvl w:ilvl="3" w:tplc="0409000F" w:tentative="1">
      <w:start w:val="1"/>
      <w:numFmt w:val="decimal"/>
      <w:lvlText w:val="%4."/>
      <w:lvlJc w:val="left"/>
      <w:pPr>
        <w:ind w:left="4590" w:hanging="360"/>
      </w:pPr>
      <w:rPr>
        <w:rFonts w:cs="Times New Roman"/>
      </w:rPr>
    </w:lvl>
    <w:lvl w:ilvl="4" w:tplc="04090019" w:tentative="1">
      <w:start w:val="1"/>
      <w:numFmt w:val="lowerLetter"/>
      <w:lvlText w:val="%5."/>
      <w:lvlJc w:val="left"/>
      <w:pPr>
        <w:ind w:left="5310" w:hanging="360"/>
      </w:pPr>
      <w:rPr>
        <w:rFonts w:cs="Times New Roman"/>
      </w:rPr>
    </w:lvl>
    <w:lvl w:ilvl="5" w:tplc="0409001B" w:tentative="1">
      <w:start w:val="1"/>
      <w:numFmt w:val="lowerRoman"/>
      <w:lvlText w:val="%6."/>
      <w:lvlJc w:val="right"/>
      <w:pPr>
        <w:ind w:left="6030" w:hanging="180"/>
      </w:pPr>
      <w:rPr>
        <w:rFonts w:cs="Times New Roman"/>
      </w:rPr>
    </w:lvl>
    <w:lvl w:ilvl="6" w:tplc="0409000F" w:tentative="1">
      <w:start w:val="1"/>
      <w:numFmt w:val="decimal"/>
      <w:lvlText w:val="%7."/>
      <w:lvlJc w:val="left"/>
      <w:pPr>
        <w:ind w:left="6750" w:hanging="360"/>
      </w:pPr>
      <w:rPr>
        <w:rFonts w:cs="Times New Roman"/>
      </w:rPr>
    </w:lvl>
    <w:lvl w:ilvl="7" w:tplc="04090019" w:tentative="1">
      <w:start w:val="1"/>
      <w:numFmt w:val="lowerLetter"/>
      <w:lvlText w:val="%8."/>
      <w:lvlJc w:val="left"/>
      <w:pPr>
        <w:ind w:left="7470" w:hanging="360"/>
      </w:pPr>
      <w:rPr>
        <w:rFonts w:cs="Times New Roman"/>
      </w:rPr>
    </w:lvl>
    <w:lvl w:ilvl="8" w:tplc="0409001B" w:tentative="1">
      <w:start w:val="1"/>
      <w:numFmt w:val="lowerRoman"/>
      <w:lvlText w:val="%9."/>
      <w:lvlJc w:val="right"/>
      <w:pPr>
        <w:ind w:left="8190" w:hanging="180"/>
      </w:pPr>
      <w:rPr>
        <w:rFonts w:cs="Times New Roman"/>
      </w:rPr>
    </w:lvl>
  </w:abstractNum>
  <w:abstractNum w:abstractNumId="1">
    <w:nsid w:val="0261700E"/>
    <w:multiLevelType w:val="hybridMultilevel"/>
    <w:tmpl w:val="CA7C6DE8"/>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777118"/>
    <w:multiLevelType w:val="hybridMultilevel"/>
    <w:tmpl w:val="D7DEEFDA"/>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BD2EE8"/>
    <w:multiLevelType w:val="hybridMultilevel"/>
    <w:tmpl w:val="802A3CB2"/>
    <w:lvl w:ilvl="0" w:tplc="E72AF544">
      <w:start w:val="1"/>
      <w:numFmt w:val="decimal"/>
      <w:lvlText w:val="%1."/>
      <w:lvlJc w:val="left"/>
      <w:pPr>
        <w:ind w:left="832" w:hanging="340"/>
      </w:pPr>
      <w:rPr>
        <w:rFonts w:ascii="Trebuchet MS" w:eastAsia="Trebuchet MS" w:hAnsi="Trebuchet MS" w:cs="Trebuchet MS" w:hint="default"/>
        <w:spacing w:val="-1"/>
        <w:w w:val="87"/>
        <w:sz w:val="22"/>
        <w:szCs w:val="22"/>
        <w:lang w:val="id" w:eastAsia="en-US" w:bidi="ar-SA"/>
      </w:rPr>
    </w:lvl>
    <w:lvl w:ilvl="1" w:tplc="BA1A2416">
      <w:numFmt w:val="bullet"/>
      <w:lvlText w:val="•"/>
      <w:lvlJc w:val="left"/>
      <w:pPr>
        <w:ind w:left="1636" w:hanging="340"/>
      </w:pPr>
      <w:rPr>
        <w:rFonts w:hint="default"/>
        <w:lang w:val="id" w:eastAsia="en-US" w:bidi="ar-SA"/>
      </w:rPr>
    </w:lvl>
    <w:lvl w:ilvl="2" w:tplc="AE0455EE">
      <w:numFmt w:val="bullet"/>
      <w:lvlText w:val="•"/>
      <w:lvlJc w:val="left"/>
      <w:pPr>
        <w:ind w:left="2432" w:hanging="340"/>
      </w:pPr>
      <w:rPr>
        <w:rFonts w:hint="default"/>
        <w:lang w:val="id" w:eastAsia="en-US" w:bidi="ar-SA"/>
      </w:rPr>
    </w:lvl>
    <w:lvl w:ilvl="3" w:tplc="09123E16">
      <w:numFmt w:val="bullet"/>
      <w:lvlText w:val="•"/>
      <w:lvlJc w:val="left"/>
      <w:pPr>
        <w:ind w:left="3228" w:hanging="340"/>
      </w:pPr>
      <w:rPr>
        <w:rFonts w:hint="default"/>
        <w:lang w:val="id" w:eastAsia="en-US" w:bidi="ar-SA"/>
      </w:rPr>
    </w:lvl>
    <w:lvl w:ilvl="4" w:tplc="5B286BD8">
      <w:numFmt w:val="bullet"/>
      <w:lvlText w:val="•"/>
      <w:lvlJc w:val="left"/>
      <w:pPr>
        <w:ind w:left="4024" w:hanging="340"/>
      </w:pPr>
      <w:rPr>
        <w:rFonts w:hint="default"/>
        <w:lang w:val="id" w:eastAsia="en-US" w:bidi="ar-SA"/>
      </w:rPr>
    </w:lvl>
    <w:lvl w:ilvl="5" w:tplc="9DD8D456">
      <w:numFmt w:val="bullet"/>
      <w:lvlText w:val="•"/>
      <w:lvlJc w:val="left"/>
      <w:pPr>
        <w:ind w:left="4820" w:hanging="340"/>
      </w:pPr>
      <w:rPr>
        <w:rFonts w:hint="default"/>
        <w:lang w:val="id" w:eastAsia="en-US" w:bidi="ar-SA"/>
      </w:rPr>
    </w:lvl>
    <w:lvl w:ilvl="6" w:tplc="885E25A4">
      <w:numFmt w:val="bullet"/>
      <w:lvlText w:val="•"/>
      <w:lvlJc w:val="left"/>
      <w:pPr>
        <w:ind w:left="5616" w:hanging="340"/>
      </w:pPr>
      <w:rPr>
        <w:rFonts w:hint="default"/>
        <w:lang w:val="id" w:eastAsia="en-US" w:bidi="ar-SA"/>
      </w:rPr>
    </w:lvl>
    <w:lvl w:ilvl="7" w:tplc="764CE514">
      <w:numFmt w:val="bullet"/>
      <w:lvlText w:val="•"/>
      <w:lvlJc w:val="left"/>
      <w:pPr>
        <w:ind w:left="6412" w:hanging="340"/>
      </w:pPr>
      <w:rPr>
        <w:rFonts w:hint="default"/>
        <w:lang w:val="id" w:eastAsia="en-US" w:bidi="ar-SA"/>
      </w:rPr>
    </w:lvl>
    <w:lvl w:ilvl="8" w:tplc="AFCEE1A6">
      <w:numFmt w:val="bullet"/>
      <w:lvlText w:val="•"/>
      <w:lvlJc w:val="left"/>
      <w:pPr>
        <w:ind w:left="7208" w:hanging="340"/>
      </w:pPr>
      <w:rPr>
        <w:rFonts w:hint="default"/>
        <w:lang w:val="id" w:eastAsia="en-US" w:bidi="ar-SA"/>
      </w:rPr>
    </w:lvl>
  </w:abstractNum>
  <w:abstractNum w:abstractNumId="4">
    <w:nsid w:val="0B59007B"/>
    <w:multiLevelType w:val="hybridMultilevel"/>
    <w:tmpl w:val="266EC200"/>
    <w:lvl w:ilvl="0" w:tplc="AD32058C">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5">
    <w:nsid w:val="0D536AC7"/>
    <w:multiLevelType w:val="hybridMultilevel"/>
    <w:tmpl w:val="E494B604"/>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rPr>
        <w:rFonts w:cs="Times New Roman"/>
      </w:rPr>
    </w:lvl>
    <w:lvl w:ilvl="2" w:tplc="0409001B" w:tentative="1">
      <w:start w:val="1"/>
      <w:numFmt w:val="lowerRoman"/>
      <w:lvlText w:val="%3."/>
      <w:lvlJc w:val="right"/>
      <w:pPr>
        <w:ind w:left="3330" w:hanging="180"/>
      </w:pPr>
      <w:rPr>
        <w:rFonts w:cs="Times New Roman"/>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abstractNum w:abstractNumId="6">
    <w:nsid w:val="0E9408F9"/>
    <w:multiLevelType w:val="hybridMultilevel"/>
    <w:tmpl w:val="C8282EA0"/>
    <w:lvl w:ilvl="0" w:tplc="0421000F">
      <w:start w:val="1"/>
      <w:numFmt w:val="decimal"/>
      <w:lvlText w:val="%1."/>
      <w:lvlJc w:val="left"/>
      <w:pPr>
        <w:ind w:left="1996" w:hanging="360"/>
      </w:pPr>
      <w:rPr>
        <w:rFonts w:cs="Times New Roman"/>
      </w:rPr>
    </w:lvl>
    <w:lvl w:ilvl="1" w:tplc="04210019">
      <w:start w:val="1"/>
      <w:numFmt w:val="lowerLetter"/>
      <w:lvlText w:val="%2."/>
      <w:lvlJc w:val="left"/>
      <w:pPr>
        <w:ind w:left="2716" w:hanging="360"/>
      </w:pPr>
      <w:rPr>
        <w:rFonts w:cs="Times New Roman"/>
      </w:rPr>
    </w:lvl>
    <w:lvl w:ilvl="2" w:tplc="0421001B">
      <w:start w:val="1"/>
      <w:numFmt w:val="lowerRoman"/>
      <w:lvlText w:val="%3."/>
      <w:lvlJc w:val="right"/>
      <w:pPr>
        <w:ind w:left="3436" w:hanging="180"/>
      </w:pPr>
      <w:rPr>
        <w:rFonts w:cs="Times New Roman"/>
      </w:rPr>
    </w:lvl>
    <w:lvl w:ilvl="3" w:tplc="0421000F">
      <w:start w:val="1"/>
      <w:numFmt w:val="decimal"/>
      <w:lvlText w:val="%4."/>
      <w:lvlJc w:val="left"/>
      <w:pPr>
        <w:ind w:left="4156" w:hanging="360"/>
      </w:pPr>
      <w:rPr>
        <w:rFonts w:cs="Times New Roman"/>
      </w:rPr>
    </w:lvl>
    <w:lvl w:ilvl="4" w:tplc="04210019" w:tentative="1">
      <w:start w:val="1"/>
      <w:numFmt w:val="lowerLetter"/>
      <w:lvlText w:val="%5."/>
      <w:lvlJc w:val="left"/>
      <w:pPr>
        <w:ind w:left="4876" w:hanging="360"/>
      </w:pPr>
      <w:rPr>
        <w:rFonts w:cs="Times New Roman"/>
      </w:rPr>
    </w:lvl>
    <w:lvl w:ilvl="5" w:tplc="0421001B" w:tentative="1">
      <w:start w:val="1"/>
      <w:numFmt w:val="lowerRoman"/>
      <w:lvlText w:val="%6."/>
      <w:lvlJc w:val="right"/>
      <w:pPr>
        <w:ind w:left="5596" w:hanging="180"/>
      </w:pPr>
      <w:rPr>
        <w:rFonts w:cs="Times New Roman"/>
      </w:rPr>
    </w:lvl>
    <w:lvl w:ilvl="6" w:tplc="0421000F" w:tentative="1">
      <w:start w:val="1"/>
      <w:numFmt w:val="decimal"/>
      <w:lvlText w:val="%7."/>
      <w:lvlJc w:val="left"/>
      <w:pPr>
        <w:ind w:left="6316" w:hanging="360"/>
      </w:pPr>
      <w:rPr>
        <w:rFonts w:cs="Times New Roman"/>
      </w:rPr>
    </w:lvl>
    <w:lvl w:ilvl="7" w:tplc="04210019" w:tentative="1">
      <w:start w:val="1"/>
      <w:numFmt w:val="lowerLetter"/>
      <w:lvlText w:val="%8."/>
      <w:lvlJc w:val="left"/>
      <w:pPr>
        <w:ind w:left="7036" w:hanging="360"/>
      </w:pPr>
      <w:rPr>
        <w:rFonts w:cs="Times New Roman"/>
      </w:rPr>
    </w:lvl>
    <w:lvl w:ilvl="8" w:tplc="0421001B" w:tentative="1">
      <w:start w:val="1"/>
      <w:numFmt w:val="lowerRoman"/>
      <w:lvlText w:val="%9."/>
      <w:lvlJc w:val="right"/>
      <w:pPr>
        <w:ind w:left="7756" w:hanging="180"/>
      </w:pPr>
      <w:rPr>
        <w:rFonts w:cs="Times New Roman"/>
      </w:rPr>
    </w:lvl>
  </w:abstractNum>
  <w:abstractNum w:abstractNumId="7">
    <w:nsid w:val="0EA17B25"/>
    <w:multiLevelType w:val="hybridMultilevel"/>
    <w:tmpl w:val="33A25F2A"/>
    <w:lvl w:ilvl="0" w:tplc="04090011">
      <w:start w:val="1"/>
      <w:numFmt w:val="decimal"/>
      <w:lvlText w:val="%1)"/>
      <w:lvlJc w:val="left"/>
      <w:pPr>
        <w:ind w:left="2563" w:hanging="360"/>
      </w:pPr>
    </w:lvl>
    <w:lvl w:ilvl="1" w:tplc="04210019" w:tentative="1">
      <w:start w:val="1"/>
      <w:numFmt w:val="lowerLetter"/>
      <w:lvlText w:val="%2."/>
      <w:lvlJc w:val="left"/>
      <w:pPr>
        <w:ind w:left="3283" w:hanging="360"/>
      </w:pPr>
      <w:rPr>
        <w:rFonts w:cs="Times New Roman"/>
      </w:rPr>
    </w:lvl>
    <w:lvl w:ilvl="2" w:tplc="0421001B" w:tentative="1">
      <w:start w:val="1"/>
      <w:numFmt w:val="lowerRoman"/>
      <w:lvlText w:val="%3."/>
      <w:lvlJc w:val="right"/>
      <w:pPr>
        <w:ind w:left="4003" w:hanging="180"/>
      </w:pPr>
      <w:rPr>
        <w:rFonts w:cs="Times New Roman"/>
      </w:rPr>
    </w:lvl>
    <w:lvl w:ilvl="3" w:tplc="0421000F" w:tentative="1">
      <w:start w:val="1"/>
      <w:numFmt w:val="decimal"/>
      <w:lvlText w:val="%4."/>
      <w:lvlJc w:val="left"/>
      <w:pPr>
        <w:ind w:left="4723" w:hanging="360"/>
      </w:pPr>
      <w:rPr>
        <w:rFonts w:cs="Times New Roman"/>
      </w:rPr>
    </w:lvl>
    <w:lvl w:ilvl="4" w:tplc="04210019" w:tentative="1">
      <w:start w:val="1"/>
      <w:numFmt w:val="lowerLetter"/>
      <w:lvlText w:val="%5."/>
      <w:lvlJc w:val="left"/>
      <w:pPr>
        <w:ind w:left="5443" w:hanging="360"/>
      </w:pPr>
      <w:rPr>
        <w:rFonts w:cs="Times New Roman"/>
      </w:rPr>
    </w:lvl>
    <w:lvl w:ilvl="5" w:tplc="0421001B" w:tentative="1">
      <w:start w:val="1"/>
      <w:numFmt w:val="lowerRoman"/>
      <w:lvlText w:val="%6."/>
      <w:lvlJc w:val="right"/>
      <w:pPr>
        <w:ind w:left="6163" w:hanging="180"/>
      </w:pPr>
      <w:rPr>
        <w:rFonts w:cs="Times New Roman"/>
      </w:rPr>
    </w:lvl>
    <w:lvl w:ilvl="6" w:tplc="0421000F" w:tentative="1">
      <w:start w:val="1"/>
      <w:numFmt w:val="decimal"/>
      <w:lvlText w:val="%7."/>
      <w:lvlJc w:val="left"/>
      <w:pPr>
        <w:ind w:left="6883" w:hanging="360"/>
      </w:pPr>
      <w:rPr>
        <w:rFonts w:cs="Times New Roman"/>
      </w:rPr>
    </w:lvl>
    <w:lvl w:ilvl="7" w:tplc="04210019" w:tentative="1">
      <w:start w:val="1"/>
      <w:numFmt w:val="lowerLetter"/>
      <w:lvlText w:val="%8."/>
      <w:lvlJc w:val="left"/>
      <w:pPr>
        <w:ind w:left="7603" w:hanging="360"/>
      </w:pPr>
      <w:rPr>
        <w:rFonts w:cs="Times New Roman"/>
      </w:rPr>
    </w:lvl>
    <w:lvl w:ilvl="8" w:tplc="0421001B" w:tentative="1">
      <w:start w:val="1"/>
      <w:numFmt w:val="lowerRoman"/>
      <w:lvlText w:val="%9."/>
      <w:lvlJc w:val="right"/>
      <w:pPr>
        <w:ind w:left="8323" w:hanging="180"/>
      </w:pPr>
      <w:rPr>
        <w:rFonts w:cs="Times New Roman"/>
      </w:rPr>
    </w:lvl>
  </w:abstractNum>
  <w:abstractNum w:abstractNumId="8">
    <w:nsid w:val="0EB440DF"/>
    <w:multiLevelType w:val="hybridMultilevel"/>
    <w:tmpl w:val="C9E273FC"/>
    <w:lvl w:ilvl="0" w:tplc="26806302">
      <w:start w:val="1"/>
      <w:numFmt w:val="decimal"/>
      <w:lvlText w:val="%1."/>
      <w:lvlJc w:val="left"/>
      <w:pPr>
        <w:ind w:left="832" w:hanging="340"/>
      </w:pPr>
      <w:rPr>
        <w:rFonts w:ascii="Trebuchet MS" w:eastAsia="Trebuchet MS" w:hAnsi="Trebuchet MS" w:cs="Trebuchet MS" w:hint="default"/>
        <w:spacing w:val="-1"/>
        <w:w w:val="87"/>
        <w:sz w:val="22"/>
        <w:szCs w:val="22"/>
        <w:lang w:val="id" w:eastAsia="en-US" w:bidi="ar-SA"/>
      </w:rPr>
    </w:lvl>
    <w:lvl w:ilvl="1" w:tplc="D7A44D0C">
      <w:start w:val="1"/>
      <w:numFmt w:val="lowerLetter"/>
      <w:lvlText w:val="%2."/>
      <w:lvlJc w:val="left"/>
      <w:pPr>
        <w:ind w:left="1170" w:hanging="339"/>
      </w:pPr>
      <w:rPr>
        <w:rFonts w:ascii="Trebuchet MS" w:eastAsia="Trebuchet MS" w:hAnsi="Trebuchet MS" w:cs="Trebuchet MS" w:hint="default"/>
        <w:spacing w:val="-1"/>
        <w:w w:val="84"/>
        <w:sz w:val="22"/>
        <w:szCs w:val="22"/>
        <w:lang w:val="id" w:eastAsia="en-US" w:bidi="ar-SA"/>
      </w:rPr>
    </w:lvl>
    <w:lvl w:ilvl="2" w:tplc="36049B84">
      <w:numFmt w:val="bullet"/>
      <w:lvlText w:val="•"/>
      <w:lvlJc w:val="left"/>
      <w:pPr>
        <w:ind w:left="2026" w:hanging="339"/>
      </w:pPr>
      <w:rPr>
        <w:rFonts w:hint="default"/>
        <w:lang w:val="id" w:eastAsia="en-US" w:bidi="ar-SA"/>
      </w:rPr>
    </w:lvl>
    <w:lvl w:ilvl="3" w:tplc="AC7C9882">
      <w:numFmt w:val="bullet"/>
      <w:lvlText w:val="•"/>
      <w:lvlJc w:val="left"/>
      <w:pPr>
        <w:ind w:left="2873" w:hanging="339"/>
      </w:pPr>
      <w:rPr>
        <w:rFonts w:hint="default"/>
        <w:lang w:val="id" w:eastAsia="en-US" w:bidi="ar-SA"/>
      </w:rPr>
    </w:lvl>
    <w:lvl w:ilvl="4" w:tplc="5C62958C">
      <w:numFmt w:val="bullet"/>
      <w:lvlText w:val="•"/>
      <w:lvlJc w:val="left"/>
      <w:pPr>
        <w:ind w:left="3720" w:hanging="339"/>
      </w:pPr>
      <w:rPr>
        <w:rFonts w:hint="default"/>
        <w:lang w:val="id" w:eastAsia="en-US" w:bidi="ar-SA"/>
      </w:rPr>
    </w:lvl>
    <w:lvl w:ilvl="5" w:tplc="9372E9DA">
      <w:numFmt w:val="bullet"/>
      <w:lvlText w:val="•"/>
      <w:lvlJc w:val="left"/>
      <w:pPr>
        <w:ind w:left="4566" w:hanging="339"/>
      </w:pPr>
      <w:rPr>
        <w:rFonts w:hint="default"/>
        <w:lang w:val="id" w:eastAsia="en-US" w:bidi="ar-SA"/>
      </w:rPr>
    </w:lvl>
    <w:lvl w:ilvl="6" w:tplc="EBF6BD56">
      <w:numFmt w:val="bullet"/>
      <w:lvlText w:val="•"/>
      <w:lvlJc w:val="left"/>
      <w:pPr>
        <w:ind w:left="5413" w:hanging="339"/>
      </w:pPr>
      <w:rPr>
        <w:rFonts w:hint="default"/>
        <w:lang w:val="id" w:eastAsia="en-US" w:bidi="ar-SA"/>
      </w:rPr>
    </w:lvl>
    <w:lvl w:ilvl="7" w:tplc="3964452C">
      <w:numFmt w:val="bullet"/>
      <w:lvlText w:val="•"/>
      <w:lvlJc w:val="left"/>
      <w:pPr>
        <w:ind w:left="6260" w:hanging="339"/>
      </w:pPr>
      <w:rPr>
        <w:rFonts w:hint="default"/>
        <w:lang w:val="id" w:eastAsia="en-US" w:bidi="ar-SA"/>
      </w:rPr>
    </w:lvl>
    <w:lvl w:ilvl="8" w:tplc="1B7E1998">
      <w:numFmt w:val="bullet"/>
      <w:lvlText w:val="•"/>
      <w:lvlJc w:val="left"/>
      <w:pPr>
        <w:ind w:left="7106" w:hanging="339"/>
      </w:pPr>
      <w:rPr>
        <w:rFonts w:hint="default"/>
        <w:lang w:val="id" w:eastAsia="en-US" w:bidi="ar-SA"/>
      </w:rPr>
    </w:lvl>
  </w:abstractNum>
  <w:abstractNum w:abstractNumId="9">
    <w:nsid w:val="14813F99"/>
    <w:multiLevelType w:val="hybridMultilevel"/>
    <w:tmpl w:val="3BB61D2E"/>
    <w:lvl w:ilvl="0" w:tplc="04210011">
      <w:start w:val="1"/>
      <w:numFmt w:val="decimal"/>
      <w:lvlText w:val="%1)"/>
      <w:lvlJc w:val="left"/>
      <w:pPr>
        <w:ind w:left="1854" w:hanging="360"/>
      </w:pPr>
      <w:rPr>
        <w:rFonts w:cs="Times New Roman"/>
      </w:rPr>
    </w:lvl>
    <w:lvl w:ilvl="1" w:tplc="04210019" w:tentative="1">
      <w:start w:val="1"/>
      <w:numFmt w:val="lowerLetter"/>
      <w:lvlText w:val="%2."/>
      <w:lvlJc w:val="left"/>
      <w:pPr>
        <w:ind w:left="2574" w:hanging="360"/>
      </w:pPr>
      <w:rPr>
        <w:rFonts w:cs="Times New Roman"/>
      </w:rPr>
    </w:lvl>
    <w:lvl w:ilvl="2" w:tplc="0421001B" w:tentative="1">
      <w:start w:val="1"/>
      <w:numFmt w:val="lowerRoman"/>
      <w:lvlText w:val="%3."/>
      <w:lvlJc w:val="right"/>
      <w:pPr>
        <w:ind w:left="3294" w:hanging="180"/>
      </w:pPr>
      <w:rPr>
        <w:rFonts w:cs="Times New Roman"/>
      </w:rPr>
    </w:lvl>
    <w:lvl w:ilvl="3" w:tplc="0421000F" w:tentative="1">
      <w:start w:val="1"/>
      <w:numFmt w:val="decimal"/>
      <w:lvlText w:val="%4."/>
      <w:lvlJc w:val="left"/>
      <w:pPr>
        <w:ind w:left="4014" w:hanging="360"/>
      </w:pPr>
      <w:rPr>
        <w:rFonts w:cs="Times New Roman"/>
      </w:rPr>
    </w:lvl>
    <w:lvl w:ilvl="4" w:tplc="04210019" w:tentative="1">
      <w:start w:val="1"/>
      <w:numFmt w:val="lowerLetter"/>
      <w:lvlText w:val="%5."/>
      <w:lvlJc w:val="left"/>
      <w:pPr>
        <w:ind w:left="4734" w:hanging="360"/>
      </w:pPr>
      <w:rPr>
        <w:rFonts w:cs="Times New Roman"/>
      </w:rPr>
    </w:lvl>
    <w:lvl w:ilvl="5" w:tplc="0421001B" w:tentative="1">
      <w:start w:val="1"/>
      <w:numFmt w:val="lowerRoman"/>
      <w:lvlText w:val="%6."/>
      <w:lvlJc w:val="right"/>
      <w:pPr>
        <w:ind w:left="5454" w:hanging="180"/>
      </w:pPr>
      <w:rPr>
        <w:rFonts w:cs="Times New Roman"/>
      </w:rPr>
    </w:lvl>
    <w:lvl w:ilvl="6" w:tplc="0421000F" w:tentative="1">
      <w:start w:val="1"/>
      <w:numFmt w:val="decimal"/>
      <w:lvlText w:val="%7."/>
      <w:lvlJc w:val="left"/>
      <w:pPr>
        <w:ind w:left="6174" w:hanging="360"/>
      </w:pPr>
      <w:rPr>
        <w:rFonts w:cs="Times New Roman"/>
      </w:rPr>
    </w:lvl>
    <w:lvl w:ilvl="7" w:tplc="04210019" w:tentative="1">
      <w:start w:val="1"/>
      <w:numFmt w:val="lowerLetter"/>
      <w:lvlText w:val="%8."/>
      <w:lvlJc w:val="left"/>
      <w:pPr>
        <w:ind w:left="6894" w:hanging="360"/>
      </w:pPr>
      <w:rPr>
        <w:rFonts w:cs="Times New Roman"/>
      </w:rPr>
    </w:lvl>
    <w:lvl w:ilvl="8" w:tplc="0421001B" w:tentative="1">
      <w:start w:val="1"/>
      <w:numFmt w:val="lowerRoman"/>
      <w:lvlText w:val="%9."/>
      <w:lvlJc w:val="right"/>
      <w:pPr>
        <w:ind w:left="7614" w:hanging="180"/>
      </w:pPr>
      <w:rPr>
        <w:rFonts w:cs="Times New Roman"/>
      </w:rPr>
    </w:lvl>
  </w:abstractNum>
  <w:abstractNum w:abstractNumId="10">
    <w:nsid w:val="1A56136A"/>
    <w:multiLevelType w:val="hybridMultilevel"/>
    <w:tmpl w:val="7B46C2C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1A781C9A"/>
    <w:multiLevelType w:val="hybridMultilevel"/>
    <w:tmpl w:val="03F8A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D83BCA"/>
    <w:multiLevelType w:val="hybridMultilevel"/>
    <w:tmpl w:val="8A2EA98C"/>
    <w:lvl w:ilvl="0" w:tplc="04210019">
      <w:start w:val="1"/>
      <w:numFmt w:val="lowerLetter"/>
      <w:lvlText w:val="%1."/>
      <w:lvlJc w:val="left"/>
      <w:pPr>
        <w:ind w:left="2563" w:hanging="360"/>
      </w:pPr>
      <w:rPr>
        <w:rFonts w:cs="Times New Roman"/>
      </w:rPr>
    </w:lvl>
    <w:lvl w:ilvl="1" w:tplc="04210019" w:tentative="1">
      <w:start w:val="1"/>
      <w:numFmt w:val="lowerLetter"/>
      <w:lvlText w:val="%2."/>
      <w:lvlJc w:val="left"/>
      <w:pPr>
        <w:ind w:left="3283" w:hanging="360"/>
      </w:pPr>
      <w:rPr>
        <w:rFonts w:cs="Times New Roman"/>
      </w:rPr>
    </w:lvl>
    <w:lvl w:ilvl="2" w:tplc="0421001B" w:tentative="1">
      <w:start w:val="1"/>
      <w:numFmt w:val="lowerRoman"/>
      <w:lvlText w:val="%3."/>
      <w:lvlJc w:val="right"/>
      <w:pPr>
        <w:ind w:left="4003" w:hanging="180"/>
      </w:pPr>
      <w:rPr>
        <w:rFonts w:cs="Times New Roman"/>
      </w:rPr>
    </w:lvl>
    <w:lvl w:ilvl="3" w:tplc="0421000F" w:tentative="1">
      <w:start w:val="1"/>
      <w:numFmt w:val="decimal"/>
      <w:lvlText w:val="%4."/>
      <w:lvlJc w:val="left"/>
      <w:pPr>
        <w:ind w:left="4723" w:hanging="360"/>
      </w:pPr>
      <w:rPr>
        <w:rFonts w:cs="Times New Roman"/>
      </w:rPr>
    </w:lvl>
    <w:lvl w:ilvl="4" w:tplc="04210019" w:tentative="1">
      <w:start w:val="1"/>
      <w:numFmt w:val="lowerLetter"/>
      <w:lvlText w:val="%5."/>
      <w:lvlJc w:val="left"/>
      <w:pPr>
        <w:ind w:left="5443" w:hanging="360"/>
      </w:pPr>
      <w:rPr>
        <w:rFonts w:cs="Times New Roman"/>
      </w:rPr>
    </w:lvl>
    <w:lvl w:ilvl="5" w:tplc="0421001B" w:tentative="1">
      <w:start w:val="1"/>
      <w:numFmt w:val="lowerRoman"/>
      <w:lvlText w:val="%6."/>
      <w:lvlJc w:val="right"/>
      <w:pPr>
        <w:ind w:left="6163" w:hanging="180"/>
      </w:pPr>
      <w:rPr>
        <w:rFonts w:cs="Times New Roman"/>
      </w:rPr>
    </w:lvl>
    <w:lvl w:ilvl="6" w:tplc="0421000F" w:tentative="1">
      <w:start w:val="1"/>
      <w:numFmt w:val="decimal"/>
      <w:lvlText w:val="%7."/>
      <w:lvlJc w:val="left"/>
      <w:pPr>
        <w:ind w:left="6883" w:hanging="360"/>
      </w:pPr>
      <w:rPr>
        <w:rFonts w:cs="Times New Roman"/>
      </w:rPr>
    </w:lvl>
    <w:lvl w:ilvl="7" w:tplc="04210019" w:tentative="1">
      <w:start w:val="1"/>
      <w:numFmt w:val="lowerLetter"/>
      <w:lvlText w:val="%8."/>
      <w:lvlJc w:val="left"/>
      <w:pPr>
        <w:ind w:left="7603" w:hanging="360"/>
      </w:pPr>
      <w:rPr>
        <w:rFonts w:cs="Times New Roman"/>
      </w:rPr>
    </w:lvl>
    <w:lvl w:ilvl="8" w:tplc="0421001B" w:tentative="1">
      <w:start w:val="1"/>
      <w:numFmt w:val="lowerRoman"/>
      <w:lvlText w:val="%9."/>
      <w:lvlJc w:val="right"/>
      <w:pPr>
        <w:ind w:left="8323" w:hanging="180"/>
      </w:pPr>
      <w:rPr>
        <w:rFonts w:cs="Times New Roman"/>
      </w:rPr>
    </w:lvl>
  </w:abstractNum>
  <w:abstractNum w:abstractNumId="13">
    <w:nsid w:val="263B6149"/>
    <w:multiLevelType w:val="hybridMultilevel"/>
    <w:tmpl w:val="6068E292"/>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14">
    <w:nsid w:val="267875F6"/>
    <w:multiLevelType w:val="hybridMultilevel"/>
    <w:tmpl w:val="5C687CFA"/>
    <w:lvl w:ilvl="0" w:tplc="1D602D86">
      <w:start w:val="1"/>
      <w:numFmt w:val="decimal"/>
      <w:lvlText w:val="%1."/>
      <w:lvlJc w:val="left"/>
      <w:pPr>
        <w:ind w:left="832" w:hanging="340"/>
      </w:pPr>
      <w:rPr>
        <w:rFonts w:ascii="Trebuchet MS" w:eastAsia="Trebuchet MS" w:hAnsi="Trebuchet MS" w:cs="Trebuchet MS" w:hint="default"/>
        <w:spacing w:val="-1"/>
        <w:w w:val="87"/>
        <w:sz w:val="22"/>
        <w:szCs w:val="22"/>
        <w:lang w:val="id" w:eastAsia="en-US" w:bidi="ar-SA"/>
      </w:rPr>
    </w:lvl>
    <w:lvl w:ilvl="1" w:tplc="D4208C4C">
      <w:numFmt w:val="bullet"/>
      <w:lvlText w:val="•"/>
      <w:lvlJc w:val="left"/>
      <w:pPr>
        <w:ind w:left="1636" w:hanging="340"/>
      </w:pPr>
      <w:rPr>
        <w:rFonts w:hint="default"/>
        <w:lang w:val="id" w:eastAsia="en-US" w:bidi="ar-SA"/>
      </w:rPr>
    </w:lvl>
    <w:lvl w:ilvl="2" w:tplc="C28ADA24">
      <w:numFmt w:val="bullet"/>
      <w:lvlText w:val="•"/>
      <w:lvlJc w:val="left"/>
      <w:pPr>
        <w:ind w:left="2432" w:hanging="340"/>
      </w:pPr>
      <w:rPr>
        <w:rFonts w:hint="default"/>
        <w:lang w:val="id" w:eastAsia="en-US" w:bidi="ar-SA"/>
      </w:rPr>
    </w:lvl>
    <w:lvl w:ilvl="3" w:tplc="1ADCB950">
      <w:numFmt w:val="bullet"/>
      <w:lvlText w:val="•"/>
      <w:lvlJc w:val="left"/>
      <w:pPr>
        <w:ind w:left="3228" w:hanging="340"/>
      </w:pPr>
      <w:rPr>
        <w:rFonts w:hint="default"/>
        <w:lang w:val="id" w:eastAsia="en-US" w:bidi="ar-SA"/>
      </w:rPr>
    </w:lvl>
    <w:lvl w:ilvl="4" w:tplc="A92CAE1A">
      <w:numFmt w:val="bullet"/>
      <w:lvlText w:val="•"/>
      <w:lvlJc w:val="left"/>
      <w:pPr>
        <w:ind w:left="4024" w:hanging="340"/>
      </w:pPr>
      <w:rPr>
        <w:rFonts w:hint="default"/>
        <w:lang w:val="id" w:eastAsia="en-US" w:bidi="ar-SA"/>
      </w:rPr>
    </w:lvl>
    <w:lvl w:ilvl="5" w:tplc="9B7667F8">
      <w:numFmt w:val="bullet"/>
      <w:lvlText w:val="•"/>
      <w:lvlJc w:val="left"/>
      <w:pPr>
        <w:ind w:left="4820" w:hanging="340"/>
      </w:pPr>
      <w:rPr>
        <w:rFonts w:hint="default"/>
        <w:lang w:val="id" w:eastAsia="en-US" w:bidi="ar-SA"/>
      </w:rPr>
    </w:lvl>
    <w:lvl w:ilvl="6" w:tplc="FF143606">
      <w:numFmt w:val="bullet"/>
      <w:lvlText w:val="•"/>
      <w:lvlJc w:val="left"/>
      <w:pPr>
        <w:ind w:left="5616" w:hanging="340"/>
      </w:pPr>
      <w:rPr>
        <w:rFonts w:hint="default"/>
        <w:lang w:val="id" w:eastAsia="en-US" w:bidi="ar-SA"/>
      </w:rPr>
    </w:lvl>
    <w:lvl w:ilvl="7" w:tplc="F758A7E6">
      <w:numFmt w:val="bullet"/>
      <w:lvlText w:val="•"/>
      <w:lvlJc w:val="left"/>
      <w:pPr>
        <w:ind w:left="6412" w:hanging="340"/>
      </w:pPr>
      <w:rPr>
        <w:rFonts w:hint="default"/>
        <w:lang w:val="id" w:eastAsia="en-US" w:bidi="ar-SA"/>
      </w:rPr>
    </w:lvl>
    <w:lvl w:ilvl="8" w:tplc="C7EA18F6">
      <w:numFmt w:val="bullet"/>
      <w:lvlText w:val="•"/>
      <w:lvlJc w:val="left"/>
      <w:pPr>
        <w:ind w:left="7208" w:hanging="340"/>
      </w:pPr>
      <w:rPr>
        <w:rFonts w:hint="default"/>
        <w:lang w:val="id" w:eastAsia="en-US" w:bidi="ar-SA"/>
      </w:rPr>
    </w:lvl>
  </w:abstractNum>
  <w:abstractNum w:abstractNumId="15">
    <w:nsid w:val="28201BD9"/>
    <w:multiLevelType w:val="hybridMultilevel"/>
    <w:tmpl w:val="58BECEC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8D9373F"/>
    <w:multiLevelType w:val="hybridMultilevel"/>
    <w:tmpl w:val="65EA1828"/>
    <w:lvl w:ilvl="0" w:tplc="31BA27C6">
      <w:start w:val="1"/>
      <w:numFmt w:val="decimal"/>
      <w:lvlText w:val="%1."/>
      <w:lvlJc w:val="left"/>
      <w:pPr>
        <w:ind w:left="832" w:hanging="340"/>
      </w:pPr>
      <w:rPr>
        <w:rFonts w:ascii="Trebuchet MS" w:eastAsia="Trebuchet MS" w:hAnsi="Trebuchet MS" w:cs="Trebuchet MS" w:hint="default"/>
        <w:spacing w:val="-1"/>
        <w:w w:val="87"/>
        <w:sz w:val="22"/>
        <w:szCs w:val="22"/>
        <w:lang w:val="id" w:eastAsia="en-US" w:bidi="ar-SA"/>
      </w:rPr>
    </w:lvl>
    <w:lvl w:ilvl="1" w:tplc="28546398">
      <w:numFmt w:val="bullet"/>
      <w:lvlText w:val="•"/>
      <w:lvlJc w:val="left"/>
      <w:pPr>
        <w:ind w:left="1636" w:hanging="340"/>
      </w:pPr>
      <w:rPr>
        <w:rFonts w:hint="default"/>
        <w:lang w:val="id" w:eastAsia="en-US" w:bidi="ar-SA"/>
      </w:rPr>
    </w:lvl>
    <w:lvl w:ilvl="2" w:tplc="12E07D02">
      <w:numFmt w:val="bullet"/>
      <w:lvlText w:val="•"/>
      <w:lvlJc w:val="left"/>
      <w:pPr>
        <w:ind w:left="2432" w:hanging="340"/>
      </w:pPr>
      <w:rPr>
        <w:rFonts w:hint="default"/>
        <w:lang w:val="id" w:eastAsia="en-US" w:bidi="ar-SA"/>
      </w:rPr>
    </w:lvl>
    <w:lvl w:ilvl="3" w:tplc="26968BA4">
      <w:numFmt w:val="bullet"/>
      <w:lvlText w:val="•"/>
      <w:lvlJc w:val="left"/>
      <w:pPr>
        <w:ind w:left="3228" w:hanging="340"/>
      </w:pPr>
      <w:rPr>
        <w:rFonts w:hint="default"/>
        <w:lang w:val="id" w:eastAsia="en-US" w:bidi="ar-SA"/>
      </w:rPr>
    </w:lvl>
    <w:lvl w:ilvl="4" w:tplc="B0E6D5BE">
      <w:numFmt w:val="bullet"/>
      <w:lvlText w:val="•"/>
      <w:lvlJc w:val="left"/>
      <w:pPr>
        <w:ind w:left="4024" w:hanging="340"/>
      </w:pPr>
      <w:rPr>
        <w:rFonts w:hint="default"/>
        <w:lang w:val="id" w:eastAsia="en-US" w:bidi="ar-SA"/>
      </w:rPr>
    </w:lvl>
    <w:lvl w:ilvl="5" w:tplc="88D82ABE">
      <w:numFmt w:val="bullet"/>
      <w:lvlText w:val="•"/>
      <w:lvlJc w:val="left"/>
      <w:pPr>
        <w:ind w:left="4820" w:hanging="340"/>
      </w:pPr>
      <w:rPr>
        <w:rFonts w:hint="default"/>
        <w:lang w:val="id" w:eastAsia="en-US" w:bidi="ar-SA"/>
      </w:rPr>
    </w:lvl>
    <w:lvl w:ilvl="6" w:tplc="03E84F5E">
      <w:numFmt w:val="bullet"/>
      <w:lvlText w:val="•"/>
      <w:lvlJc w:val="left"/>
      <w:pPr>
        <w:ind w:left="5616" w:hanging="340"/>
      </w:pPr>
      <w:rPr>
        <w:rFonts w:hint="default"/>
        <w:lang w:val="id" w:eastAsia="en-US" w:bidi="ar-SA"/>
      </w:rPr>
    </w:lvl>
    <w:lvl w:ilvl="7" w:tplc="3CAC2370">
      <w:numFmt w:val="bullet"/>
      <w:lvlText w:val="•"/>
      <w:lvlJc w:val="left"/>
      <w:pPr>
        <w:ind w:left="6412" w:hanging="340"/>
      </w:pPr>
      <w:rPr>
        <w:rFonts w:hint="default"/>
        <w:lang w:val="id" w:eastAsia="en-US" w:bidi="ar-SA"/>
      </w:rPr>
    </w:lvl>
    <w:lvl w:ilvl="8" w:tplc="DCD0C188">
      <w:numFmt w:val="bullet"/>
      <w:lvlText w:val="•"/>
      <w:lvlJc w:val="left"/>
      <w:pPr>
        <w:ind w:left="7208" w:hanging="340"/>
      </w:pPr>
      <w:rPr>
        <w:rFonts w:hint="default"/>
        <w:lang w:val="id" w:eastAsia="en-US" w:bidi="ar-SA"/>
      </w:rPr>
    </w:lvl>
  </w:abstractNum>
  <w:abstractNum w:abstractNumId="17">
    <w:nsid w:val="2BD549FA"/>
    <w:multiLevelType w:val="hybridMultilevel"/>
    <w:tmpl w:val="8480CB96"/>
    <w:lvl w:ilvl="0" w:tplc="0421000F">
      <w:start w:val="1"/>
      <w:numFmt w:val="decimal"/>
      <w:lvlText w:val="%1."/>
      <w:lvlJc w:val="left"/>
      <w:pPr>
        <w:ind w:left="1996" w:hanging="360"/>
      </w:pPr>
      <w:rPr>
        <w:rFonts w:cs="Times New Roman"/>
      </w:rPr>
    </w:lvl>
    <w:lvl w:ilvl="1" w:tplc="04210019">
      <w:start w:val="1"/>
      <w:numFmt w:val="lowerLetter"/>
      <w:lvlText w:val="%2."/>
      <w:lvlJc w:val="left"/>
      <w:pPr>
        <w:ind w:left="2716" w:hanging="360"/>
      </w:pPr>
      <w:rPr>
        <w:rFonts w:cs="Times New Roman"/>
      </w:rPr>
    </w:lvl>
    <w:lvl w:ilvl="2" w:tplc="0421001B">
      <w:start w:val="1"/>
      <w:numFmt w:val="lowerRoman"/>
      <w:lvlText w:val="%3."/>
      <w:lvlJc w:val="right"/>
      <w:pPr>
        <w:ind w:left="3436" w:hanging="180"/>
      </w:pPr>
      <w:rPr>
        <w:rFonts w:cs="Times New Roman"/>
      </w:rPr>
    </w:lvl>
    <w:lvl w:ilvl="3" w:tplc="0421000F">
      <w:start w:val="1"/>
      <w:numFmt w:val="decimal"/>
      <w:lvlText w:val="%4."/>
      <w:lvlJc w:val="left"/>
      <w:pPr>
        <w:ind w:left="4156" w:hanging="360"/>
      </w:pPr>
      <w:rPr>
        <w:rFonts w:cs="Times New Roman"/>
      </w:rPr>
    </w:lvl>
    <w:lvl w:ilvl="4" w:tplc="04210019" w:tentative="1">
      <w:start w:val="1"/>
      <w:numFmt w:val="lowerLetter"/>
      <w:lvlText w:val="%5."/>
      <w:lvlJc w:val="left"/>
      <w:pPr>
        <w:ind w:left="4876" w:hanging="360"/>
      </w:pPr>
      <w:rPr>
        <w:rFonts w:cs="Times New Roman"/>
      </w:rPr>
    </w:lvl>
    <w:lvl w:ilvl="5" w:tplc="0421001B" w:tentative="1">
      <w:start w:val="1"/>
      <w:numFmt w:val="lowerRoman"/>
      <w:lvlText w:val="%6."/>
      <w:lvlJc w:val="right"/>
      <w:pPr>
        <w:ind w:left="5596" w:hanging="180"/>
      </w:pPr>
      <w:rPr>
        <w:rFonts w:cs="Times New Roman"/>
      </w:rPr>
    </w:lvl>
    <w:lvl w:ilvl="6" w:tplc="0421000F" w:tentative="1">
      <w:start w:val="1"/>
      <w:numFmt w:val="decimal"/>
      <w:lvlText w:val="%7."/>
      <w:lvlJc w:val="left"/>
      <w:pPr>
        <w:ind w:left="6316" w:hanging="360"/>
      </w:pPr>
      <w:rPr>
        <w:rFonts w:cs="Times New Roman"/>
      </w:rPr>
    </w:lvl>
    <w:lvl w:ilvl="7" w:tplc="04210019" w:tentative="1">
      <w:start w:val="1"/>
      <w:numFmt w:val="lowerLetter"/>
      <w:lvlText w:val="%8."/>
      <w:lvlJc w:val="left"/>
      <w:pPr>
        <w:ind w:left="7036" w:hanging="360"/>
      </w:pPr>
      <w:rPr>
        <w:rFonts w:cs="Times New Roman"/>
      </w:rPr>
    </w:lvl>
    <w:lvl w:ilvl="8" w:tplc="0421001B" w:tentative="1">
      <w:start w:val="1"/>
      <w:numFmt w:val="lowerRoman"/>
      <w:lvlText w:val="%9."/>
      <w:lvlJc w:val="right"/>
      <w:pPr>
        <w:ind w:left="7756" w:hanging="180"/>
      </w:pPr>
      <w:rPr>
        <w:rFonts w:cs="Times New Roman"/>
      </w:rPr>
    </w:lvl>
  </w:abstractNum>
  <w:abstractNum w:abstractNumId="18">
    <w:nsid w:val="2BF75ED9"/>
    <w:multiLevelType w:val="hybridMultilevel"/>
    <w:tmpl w:val="C7F494CE"/>
    <w:lvl w:ilvl="0" w:tplc="AD32058C">
      <w:start w:val="1"/>
      <w:numFmt w:val="lowerLetter"/>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nsid w:val="2C113CA4"/>
    <w:multiLevelType w:val="hybridMultilevel"/>
    <w:tmpl w:val="F6305748"/>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0">
    <w:nsid w:val="2F6A4397"/>
    <w:multiLevelType w:val="hybridMultilevel"/>
    <w:tmpl w:val="6D306DA6"/>
    <w:lvl w:ilvl="0" w:tplc="25C2DA7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300624FD"/>
    <w:multiLevelType w:val="hybridMultilevel"/>
    <w:tmpl w:val="154691B2"/>
    <w:lvl w:ilvl="0" w:tplc="0421000F">
      <w:start w:val="1"/>
      <w:numFmt w:val="decimal"/>
      <w:lvlText w:val="%1."/>
      <w:lvlJc w:val="left"/>
      <w:pPr>
        <w:ind w:left="1996" w:hanging="360"/>
      </w:pPr>
      <w:rPr>
        <w:rFonts w:cs="Times New Roman"/>
      </w:rPr>
    </w:lvl>
    <w:lvl w:ilvl="1" w:tplc="04210019" w:tentative="1">
      <w:start w:val="1"/>
      <w:numFmt w:val="lowerLetter"/>
      <w:lvlText w:val="%2."/>
      <w:lvlJc w:val="left"/>
      <w:pPr>
        <w:ind w:left="2716" w:hanging="360"/>
      </w:pPr>
      <w:rPr>
        <w:rFonts w:cs="Times New Roman"/>
      </w:rPr>
    </w:lvl>
    <w:lvl w:ilvl="2" w:tplc="0421001B" w:tentative="1">
      <w:start w:val="1"/>
      <w:numFmt w:val="lowerRoman"/>
      <w:lvlText w:val="%3."/>
      <w:lvlJc w:val="right"/>
      <w:pPr>
        <w:ind w:left="3436" w:hanging="180"/>
      </w:pPr>
      <w:rPr>
        <w:rFonts w:cs="Times New Roman"/>
      </w:rPr>
    </w:lvl>
    <w:lvl w:ilvl="3" w:tplc="B706EB5E">
      <w:start w:val="1"/>
      <w:numFmt w:val="lowerLetter"/>
      <w:lvlText w:val="%4."/>
      <w:lvlJc w:val="left"/>
      <w:pPr>
        <w:ind w:left="4156" w:hanging="360"/>
      </w:pPr>
      <w:rPr>
        <w:rFonts w:cs="Times New Roman" w:hint="default"/>
      </w:rPr>
    </w:lvl>
    <w:lvl w:ilvl="4" w:tplc="04210019" w:tentative="1">
      <w:start w:val="1"/>
      <w:numFmt w:val="lowerLetter"/>
      <w:lvlText w:val="%5."/>
      <w:lvlJc w:val="left"/>
      <w:pPr>
        <w:ind w:left="4876" w:hanging="360"/>
      </w:pPr>
      <w:rPr>
        <w:rFonts w:cs="Times New Roman"/>
      </w:rPr>
    </w:lvl>
    <w:lvl w:ilvl="5" w:tplc="0421001B" w:tentative="1">
      <w:start w:val="1"/>
      <w:numFmt w:val="lowerRoman"/>
      <w:lvlText w:val="%6."/>
      <w:lvlJc w:val="right"/>
      <w:pPr>
        <w:ind w:left="5596" w:hanging="180"/>
      </w:pPr>
      <w:rPr>
        <w:rFonts w:cs="Times New Roman"/>
      </w:rPr>
    </w:lvl>
    <w:lvl w:ilvl="6" w:tplc="0421000F" w:tentative="1">
      <w:start w:val="1"/>
      <w:numFmt w:val="decimal"/>
      <w:lvlText w:val="%7."/>
      <w:lvlJc w:val="left"/>
      <w:pPr>
        <w:ind w:left="6316" w:hanging="360"/>
      </w:pPr>
      <w:rPr>
        <w:rFonts w:cs="Times New Roman"/>
      </w:rPr>
    </w:lvl>
    <w:lvl w:ilvl="7" w:tplc="04210019" w:tentative="1">
      <w:start w:val="1"/>
      <w:numFmt w:val="lowerLetter"/>
      <w:lvlText w:val="%8."/>
      <w:lvlJc w:val="left"/>
      <w:pPr>
        <w:ind w:left="7036" w:hanging="360"/>
      </w:pPr>
      <w:rPr>
        <w:rFonts w:cs="Times New Roman"/>
      </w:rPr>
    </w:lvl>
    <w:lvl w:ilvl="8" w:tplc="0421001B" w:tentative="1">
      <w:start w:val="1"/>
      <w:numFmt w:val="lowerRoman"/>
      <w:lvlText w:val="%9."/>
      <w:lvlJc w:val="right"/>
      <w:pPr>
        <w:ind w:left="7756" w:hanging="180"/>
      </w:pPr>
      <w:rPr>
        <w:rFonts w:cs="Times New Roman"/>
      </w:rPr>
    </w:lvl>
  </w:abstractNum>
  <w:abstractNum w:abstractNumId="22">
    <w:nsid w:val="310D77F2"/>
    <w:multiLevelType w:val="hybridMultilevel"/>
    <w:tmpl w:val="C4CC5234"/>
    <w:lvl w:ilvl="0" w:tplc="04210019">
      <w:start w:val="1"/>
      <w:numFmt w:val="lowerLetter"/>
      <w:lvlText w:val="%1."/>
      <w:lvlJc w:val="left"/>
      <w:pPr>
        <w:ind w:left="1854" w:hanging="360"/>
      </w:pPr>
      <w:rPr>
        <w:rFonts w:cs="Times New Roman"/>
      </w:rPr>
    </w:lvl>
    <w:lvl w:ilvl="1" w:tplc="04210019" w:tentative="1">
      <w:start w:val="1"/>
      <w:numFmt w:val="lowerLetter"/>
      <w:lvlText w:val="%2."/>
      <w:lvlJc w:val="left"/>
      <w:pPr>
        <w:ind w:left="2574" w:hanging="360"/>
      </w:pPr>
      <w:rPr>
        <w:rFonts w:cs="Times New Roman"/>
      </w:rPr>
    </w:lvl>
    <w:lvl w:ilvl="2" w:tplc="0421001B" w:tentative="1">
      <w:start w:val="1"/>
      <w:numFmt w:val="lowerRoman"/>
      <w:lvlText w:val="%3."/>
      <w:lvlJc w:val="right"/>
      <w:pPr>
        <w:ind w:left="3294" w:hanging="180"/>
      </w:pPr>
      <w:rPr>
        <w:rFonts w:cs="Times New Roman"/>
      </w:rPr>
    </w:lvl>
    <w:lvl w:ilvl="3" w:tplc="0421000F" w:tentative="1">
      <w:start w:val="1"/>
      <w:numFmt w:val="decimal"/>
      <w:lvlText w:val="%4."/>
      <w:lvlJc w:val="left"/>
      <w:pPr>
        <w:ind w:left="4014" w:hanging="360"/>
      </w:pPr>
      <w:rPr>
        <w:rFonts w:cs="Times New Roman"/>
      </w:rPr>
    </w:lvl>
    <w:lvl w:ilvl="4" w:tplc="04210019" w:tentative="1">
      <w:start w:val="1"/>
      <w:numFmt w:val="lowerLetter"/>
      <w:lvlText w:val="%5."/>
      <w:lvlJc w:val="left"/>
      <w:pPr>
        <w:ind w:left="4734" w:hanging="360"/>
      </w:pPr>
      <w:rPr>
        <w:rFonts w:cs="Times New Roman"/>
      </w:rPr>
    </w:lvl>
    <w:lvl w:ilvl="5" w:tplc="0421001B" w:tentative="1">
      <w:start w:val="1"/>
      <w:numFmt w:val="lowerRoman"/>
      <w:lvlText w:val="%6."/>
      <w:lvlJc w:val="right"/>
      <w:pPr>
        <w:ind w:left="5454" w:hanging="180"/>
      </w:pPr>
      <w:rPr>
        <w:rFonts w:cs="Times New Roman"/>
      </w:rPr>
    </w:lvl>
    <w:lvl w:ilvl="6" w:tplc="0421000F" w:tentative="1">
      <w:start w:val="1"/>
      <w:numFmt w:val="decimal"/>
      <w:lvlText w:val="%7."/>
      <w:lvlJc w:val="left"/>
      <w:pPr>
        <w:ind w:left="6174" w:hanging="360"/>
      </w:pPr>
      <w:rPr>
        <w:rFonts w:cs="Times New Roman"/>
      </w:rPr>
    </w:lvl>
    <w:lvl w:ilvl="7" w:tplc="04210019" w:tentative="1">
      <w:start w:val="1"/>
      <w:numFmt w:val="lowerLetter"/>
      <w:lvlText w:val="%8."/>
      <w:lvlJc w:val="left"/>
      <w:pPr>
        <w:ind w:left="6894" w:hanging="360"/>
      </w:pPr>
      <w:rPr>
        <w:rFonts w:cs="Times New Roman"/>
      </w:rPr>
    </w:lvl>
    <w:lvl w:ilvl="8" w:tplc="0421001B" w:tentative="1">
      <w:start w:val="1"/>
      <w:numFmt w:val="lowerRoman"/>
      <w:lvlText w:val="%9."/>
      <w:lvlJc w:val="right"/>
      <w:pPr>
        <w:ind w:left="7614" w:hanging="180"/>
      </w:pPr>
      <w:rPr>
        <w:rFonts w:cs="Times New Roman"/>
      </w:rPr>
    </w:lvl>
  </w:abstractNum>
  <w:abstractNum w:abstractNumId="23">
    <w:nsid w:val="32907242"/>
    <w:multiLevelType w:val="hybridMultilevel"/>
    <w:tmpl w:val="20CC9E3E"/>
    <w:lvl w:ilvl="0" w:tplc="0409000F">
      <w:start w:val="1"/>
      <w:numFmt w:val="decimal"/>
      <w:lvlText w:val="%1."/>
      <w:lvlJc w:val="left"/>
      <w:pPr>
        <w:ind w:left="1890" w:hanging="360"/>
      </w:pPr>
      <w:rPr>
        <w:rFonts w:cs="Times New Roman"/>
      </w:rPr>
    </w:lvl>
    <w:lvl w:ilvl="1" w:tplc="04090019">
      <w:start w:val="1"/>
      <w:numFmt w:val="lowerLetter"/>
      <w:lvlText w:val="%2."/>
      <w:lvlJc w:val="left"/>
      <w:pPr>
        <w:ind w:left="2610" w:hanging="360"/>
      </w:pPr>
    </w:lvl>
    <w:lvl w:ilvl="2" w:tplc="7104372C">
      <w:start w:val="1"/>
      <w:numFmt w:val="lowerLetter"/>
      <w:lvlText w:val="%3."/>
      <w:lvlJc w:val="left"/>
      <w:pPr>
        <w:ind w:left="3510" w:hanging="360"/>
      </w:pPr>
      <w:rPr>
        <w:rFonts w:cs="Times New Roman" w:hint="default"/>
      </w:rPr>
    </w:lvl>
    <w:lvl w:ilvl="3" w:tplc="0409000F" w:tentative="1">
      <w:start w:val="1"/>
      <w:numFmt w:val="decimal"/>
      <w:lvlText w:val="%4."/>
      <w:lvlJc w:val="left"/>
      <w:pPr>
        <w:ind w:left="4050" w:hanging="360"/>
      </w:pPr>
      <w:rPr>
        <w:rFonts w:cs="Times New Roman"/>
      </w:rPr>
    </w:lvl>
    <w:lvl w:ilvl="4" w:tplc="04090019" w:tentative="1">
      <w:start w:val="1"/>
      <w:numFmt w:val="lowerLetter"/>
      <w:lvlText w:val="%5."/>
      <w:lvlJc w:val="left"/>
      <w:pPr>
        <w:ind w:left="4770" w:hanging="360"/>
      </w:pPr>
      <w:rPr>
        <w:rFonts w:cs="Times New Roman"/>
      </w:rPr>
    </w:lvl>
    <w:lvl w:ilvl="5" w:tplc="0409001B" w:tentative="1">
      <w:start w:val="1"/>
      <w:numFmt w:val="lowerRoman"/>
      <w:lvlText w:val="%6."/>
      <w:lvlJc w:val="right"/>
      <w:pPr>
        <w:ind w:left="5490" w:hanging="180"/>
      </w:pPr>
      <w:rPr>
        <w:rFonts w:cs="Times New Roman"/>
      </w:rPr>
    </w:lvl>
    <w:lvl w:ilvl="6" w:tplc="0409000F" w:tentative="1">
      <w:start w:val="1"/>
      <w:numFmt w:val="decimal"/>
      <w:lvlText w:val="%7."/>
      <w:lvlJc w:val="left"/>
      <w:pPr>
        <w:ind w:left="6210" w:hanging="360"/>
      </w:pPr>
      <w:rPr>
        <w:rFonts w:cs="Times New Roman"/>
      </w:rPr>
    </w:lvl>
    <w:lvl w:ilvl="7" w:tplc="04090019" w:tentative="1">
      <w:start w:val="1"/>
      <w:numFmt w:val="lowerLetter"/>
      <w:lvlText w:val="%8."/>
      <w:lvlJc w:val="left"/>
      <w:pPr>
        <w:ind w:left="6930" w:hanging="360"/>
      </w:pPr>
      <w:rPr>
        <w:rFonts w:cs="Times New Roman"/>
      </w:rPr>
    </w:lvl>
    <w:lvl w:ilvl="8" w:tplc="0409001B" w:tentative="1">
      <w:start w:val="1"/>
      <w:numFmt w:val="lowerRoman"/>
      <w:lvlText w:val="%9."/>
      <w:lvlJc w:val="right"/>
      <w:pPr>
        <w:ind w:left="7650" w:hanging="180"/>
      </w:pPr>
      <w:rPr>
        <w:rFonts w:cs="Times New Roman"/>
      </w:rPr>
    </w:lvl>
  </w:abstractNum>
  <w:abstractNum w:abstractNumId="24">
    <w:nsid w:val="32F75BC4"/>
    <w:multiLevelType w:val="hybridMultilevel"/>
    <w:tmpl w:val="947AB3B6"/>
    <w:lvl w:ilvl="0" w:tplc="0409000F">
      <w:start w:val="1"/>
      <w:numFmt w:val="decimal"/>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5">
    <w:nsid w:val="38F97362"/>
    <w:multiLevelType w:val="hybridMultilevel"/>
    <w:tmpl w:val="93F25544"/>
    <w:lvl w:ilvl="0" w:tplc="04090019">
      <w:start w:val="1"/>
      <w:numFmt w:val="lowerLetter"/>
      <w:lvlText w:val="%1."/>
      <w:lvlJc w:val="left"/>
      <w:pPr>
        <w:ind w:left="2563" w:hanging="360"/>
      </w:pPr>
      <w:rPr>
        <w:rFonts w:hint="default"/>
      </w:rPr>
    </w:lvl>
    <w:lvl w:ilvl="1" w:tplc="04210003" w:tentative="1">
      <w:start w:val="1"/>
      <w:numFmt w:val="bullet"/>
      <w:lvlText w:val="o"/>
      <w:lvlJc w:val="left"/>
      <w:pPr>
        <w:ind w:left="3283" w:hanging="360"/>
      </w:pPr>
      <w:rPr>
        <w:rFonts w:ascii="Courier New" w:hAnsi="Courier New" w:hint="default"/>
      </w:rPr>
    </w:lvl>
    <w:lvl w:ilvl="2" w:tplc="04210005" w:tentative="1">
      <w:start w:val="1"/>
      <w:numFmt w:val="bullet"/>
      <w:lvlText w:val=""/>
      <w:lvlJc w:val="left"/>
      <w:pPr>
        <w:ind w:left="4003" w:hanging="360"/>
      </w:pPr>
      <w:rPr>
        <w:rFonts w:ascii="Wingdings" w:hAnsi="Wingdings" w:hint="default"/>
      </w:rPr>
    </w:lvl>
    <w:lvl w:ilvl="3" w:tplc="04210001" w:tentative="1">
      <w:start w:val="1"/>
      <w:numFmt w:val="bullet"/>
      <w:lvlText w:val=""/>
      <w:lvlJc w:val="left"/>
      <w:pPr>
        <w:ind w:left="4723" w:hanging="360"/>
      </w:pPr>
      <w:rPr>
        <w:rFonts w:ascii="Symbol" w:hAnsi="Symbol" w:hint="default"/>
      </w:rPr>
    </w:lvl>
    <w:lvl w:ilvl="4" w:tplc="04210003" w:tentative="1">
      <w:start w:val="1"/>
      <w:numFmt w:val="bullet"/>
      <w:lvlText w:val="o"/>
      <w:lvlJc w:val="left"/>
      <w:pPr>
        <w:ind w:left="5443" w:hanging="360"/>
      </w:pPr>
      <w:rPr>
        <w:rFonts w:ascii="Courier New" w:hAnsi="Courier New" w:hint="default"/>
      </w:rPr>
    </w:lvl>
    <w:lvl w:ilvl="5" w:tplc="04210005" w:tentative="1">
      <w:start w:val="1"/>
      <w:numFmt w:val="bullet"/>
      <w:lvlText w:val=""/>
      <w:lvlJc w:val="left"/>
      <w:pPr>
        <w:ind w:left="6163" w:hanging="360"/>
      </w:pPr>
      <w:rPr>
        <w:rFonts w:ascii="Wingdings" w:hAnsi="Wingdings" w:hint="default"/>
      </w:rPr>
    </w:lvl>
    <w:lvl w:ilvl="6" w:tplc="04210001" w:tentative="1">
      <w:start w:val="1"/>
      <w:numFmt w:val="bullet"/>
      <w:lvlText w:val=""/>
      <w:lvlJc w:val="left"/>
      <w:pPr>
        <w:ind w:left="6883" w:hanging="360"/>
      </w:pPr>
      <w:rPr>
        <w:rFonts w:ascii="Symbol" w:hAnsi="Symbol" w:hint="default"/>
      </w:rPr>
    </w:lvl>
    <w:lvl w:ilvl="7" w:tplc="04210003" w:tentative="1">
      <w:start w:val="1"/>
      <w:numFmt w:val="bullet"/>
      <w:lvlText w:val="o"/>
      <w:lvlJc w:val="left"/>
      <w:pPr>
        <w:ind w:left="7603" w:hanging="360"/>
      </w:pPr>
      <w:rPr>
        <w:rFonts w:ascii="Courier New" w:hAnsi="Courier New" w:hint="default"/>
      </w:rPr>
    </w:lvl>
    <w:lvl w:ilvl="8" w:tplc="04210005" w:tentative="1">
      <w:start w:val="1"/>
      <w:numFmt w:val="bullet"/>
      <w:lvlText w:val=""/>
      <w:lvlJc w:val="left"/>
      <w:pPr>
        <w:ind w:left="8323" w:hanging="360"/>
      </w:pPr>
      <w:rPr>
        <w:rFonts w:ascii="Wingdings" w:hAnsi="Wingdings" w:hint="default"/>
      </w:rPr>
    </w:lvl>
  </w:abstractNum>
  <w:abstractNum w:abstractNumId="26">
    <w:nsid w:val="48285CC2"/>
    <w:multiLevelType w:val="hybridMultilevel"/>
    <w:tmpl w:val="7B0290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2430DD6"/>
    <w:multiLevelType w:val="multilevel"/>
    <w:tmpl w:val="DC182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C015AC8"/>
    <w:multiLevelType w:val="hybridMultilevel"/>
    <w:tmpl w:val="FA7AE28A"/>
    <w:lvl w:ilvl="0" w:tplc="AD32058C">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9">
    <w:nsid w:val="5D461DAA"/>
    <w:multiLevelType w:val="hybridMultilevel"/>
    <w:tmpl w:val="237E109A"/>
    <w:lvl w:ilvl="0" w:tplc="04210019">
      <w:start w:val="1"/>
      <w:numFmt w:val="lowerLetter"/>
      <w:lvlText w:val="%1."/>
      <w:lvlJc w:val="left"/>
      <w:pPr>
        <w:ind w:left="1800" w:hanging="360"/>
      </w:pPr>
      <w:rPr>
        <w:rFonts w:cs="Times New Roman"/>
      </w:rPr>
    </w:lvl>
    <w:lvl w:ilvl="1" w:tplc="04210019" w:tentative="1">
      <w:start w:val="1"/>
      <w:numFmt w:val="lowerLetter"/>
      <w:lvlText w:val="%2."/>
      <w:lvlJc w:val="left"/>
      <w:pPr>
        <w:ind w:left="2520" w:hanging="360"/>
      </w:pPr>
      <w:rPr>
        <w:rFonts w:cs="Times New Roman"/>
      </w:rPr>
    </w:lvl>
    <w:lvl w:ilvl="2" w:tplc="0421001B" w:tentative="1">
      <w:start w:val="1"/>
      <w:numFmt w:val="lowerRoman"/>
      <w:lvlText w:val="%3."/>
      <w:lvlJc w:val="right"/>
      <w:pPr>
        <w:ind w:left="3240" w:hanging="180"/>
      </w:pPr>
      <w:rPr>
        <w:rFonts w:cs="Times New Roman"/>
      </w:rPr>
    </w:lvl>
    <w:lvl w:ilvl="3" w:tplc="0421000F" w:tentative="1">
      <w:start w:val="1"/>
      <w:numFmt w:val="decimal"/>
      <w:lvlText w:val="%4."/>
      <w:lvlJc w:val="left"/>
      <w:pPr>
        <w:ind w:left="3960" w:hanging="360"/>
      </w:pPr>
      <w:rPr>
        <w:rFonts w:cs="Times New Roman"/>
      </w:rPr>
    </w:lvl>
    <w:lvl w:ilvl="4" w:tplc="0409000F">
      <w:start w:val="1"/>
      <w:numFmt w:val="decimal"/>
      <w:lvlText w:val="%5."/>
      <w:lvlJc w:val="left"/>
      <w:pPr>
        <w:ind w:left="4680" w:hanging="360"/>
      </w:pPr>
    </w:lvl>
    <w:lvl w:ilvl="5" w:tplc="0421001B" w:tentative="1">
      <w:start w:val="1"/>
      <w:numFmt w:val="lowerRoman"/>
      <w:lvlText w:val="%6."/>
      <w:lvlJc w:val="right"/>
      <w:pPr>
        <w:ind w:left="5400" w:hanging="180"/>
      </w:pPr>
      <w:rPr>
        <w:rFonts w:cs="Times New Roman"/>
      </w:rPr>
    </w:lvl>
    <w:lvl w:ilvl="6" w:tplc="0421000F" w:tentative="1">
      <w:start w:val="1"/>
      <w:numFmt w:val="decimal"/>
      <w:lvlText w:val="%7."/>
      <w:lvlJc w:val="left"/>
      <w:pPr>
        <w:ind w:left="6120" w:hanging="360"/>
      </w:pPr>
      <w:rPr>
        <w:rFonts w:cs="Times New Roman"/>
      </w:rPr>
    </w:lvl>
    <w:lvl w:ilvl="7" w:tplc="04210019" w:tentative="1">
      <w:start w:val="1"/>
      <w:numFmt w:val="lowerLetter"/>
      <w:lvlText w:val="%8."/>
      <w:lvlJc w:val="left"/>
      <w:pPr>
        <w:ind w:left="6840" w:hanging="360"/>
      </w:pPr>
      <w:rPr>
        <w:rFonts w:cs="Times New Roman"/>
      </w:rPr>
    </w:lvl>
    <w:lvl w:ilvl="8" w:tplc="0421001B" w:tentative="1">
      <w:start w:val="1"/>
      <w:numFmt w:val="lowerRoman"/>
      <w:lvlText w:val="%9."/>
      <w:lvlJc w:val="right"/>
      <w:pPr>
        <w:ind w:left="7560" w:hanging="180"/>
      </w:pPr>
      <w:rPr>
        <w:rFonts w:cs="Times New Roman"/>
      </w:rPr>
    </w:lvl>
  </w:abstractNum>
  <w:abstractNum w:abstractNumId="30">
    <w:nsid w:val="5F545135"/>
    <w:multiLevelType w:val="hybridMultilevel"/>
    <w:tmpl w:val="3968CF52"/>
    <w:lvl w:ilvl="0" w:tplc="0421000F">
      <w:start w:val="1"/>
      <w:numFmt w:val="decimal"/>
      <w:lvlText w:val="%1."/>
      <w:lvlJc w:val="left"/>
      <w:pPr>
        <w:ind w:left="1996" w:hanging="360"/>
      </w:pPr>
      <w:rPr>
        <w:rFonts w:cs="Times New Roman"/>
      </w:rPr>
    </w:lvl>
    <w:lvl w:ilvl="1" w:tplc="04210019">
      <w:start w:val="1"/>
      <w:numFmt w:val="lowerLetter"/>
      <w:lvlText w:val="%2."/>
      <w:lvlJc w:val="left"/>
      <w:pPr>
        <w:ind w:left="2716" w:hanging="360"/>
      </w:pPr>
      <w:rPr>
        <w:rFonts w:cs="Times New Roman"/>
      </w:rPr>
    </w:lvl>
    <w:lvl w:ilvl="2" w:tplc="0421001B">
      <w:start w:val="1"/>
      <w:numFmt w:val="lowerRoman"/>
      <w:lvlText w:val="%3."/>
      <w:lvlJc w:val="right"/>
      <w:pPr>
        <w:ind w:left="3436" w:hanging="180"/>
      </w:pPr>
      <w:rPr>
        <w:rFonts w:cs="Times New Roman"/>
      </w:rPr>
    </w:lvl>
    <w:lvl w:ilvl="3" w:tplc="04210011">
      <w:start w:val="1"/>
      <w:numFmt w:val="decimal"/>
      <w:lvlText w:val="%4)"/>
      <w:lvlJc w:val="left"/>
      <w:pPr>
        <w:ind w:left="4156" w:hanging="360"/>
      </w:pPr>
      <w:rPr>
        <w:rFonts w:cs="Times New Roman"/>
      </w:rPr>
    </w:lvl>
    <w:lvl w:ilvl="4" w:tplc="04210019" w:tentative="1">
      <w:start w:val="1"/>
      <w:numFmt w:val="lowerLetter"/>
      <w:lvlText w:val="%5."/>
      <w:lvlJc w:val="left"/>
      <w:pPr>
        <w:ind w:left="4876" w:hanging="360"/>
      </w:pPr>
      <w:rPr>
        <w:rFonts w:cs="Times New Roman"/>
      </w:rPr>
    </w:lvl>
    <w:lvl w:ilvl="5" w:tplc="0421001B" w:tentative="1">
      <w:start w:val="1"/>
      <w:numFmt w:val="lowerRoman"/>
      <w:lvlText w:val="%6."/>
      <w:lvlJc w:val="right"/>
      <w:pPr>
        <w:ind w:left="5596" w:hanging="180"/>
      </w:pPr>
      <w:rPr>
        <w:rFonts w:cs="Times New Roman"/>
      </w:rPr>
    </w:lvl>
    <w:lvl w:ilvl="6" w:tplc="0421000F" w:tentative="1">
      <w:start w:val="1"/>
      <w:numFmt w:val="decimal"/>
      <w:lvlText w:val="%7."/>
      <w:lvlJc w:val="left"/>
      <w:pPr>
        <w:ind w:left="6316" w:hanging="360"/>
      </w:pPr>
      <w:rPr>
        <w:rFonts w:cs="Times New Roman"/>
      </w:rPr>
    </w:lvl>
    <w:lvl w:ilvl="7" w:tplc="04210019" w:tentative="1">
      <w:start w:val="1"/>
      <w:numFmt w:val="lowerLetter"/>
      <w:lvlText w:val="%8."/>
      <w:lvlJc w:val="left"/>
      <w:pPr>
        <w:ind w:left="7036" w:hanging="360"/>
      </w:pPr>
      <w:rPr>
        <w:rFonts w:cs="Times New Roman"/>
      </w:rPr>
    </w:lvl>
    <w:lvl w:ilvl="8" w:tplc="0421001B" w:tentative="1">
      <w:start w:val="1"/>
      <w:numFmt w:val="lowerRoman"/>
      <w:lvlText w:val="%9."/>
      <w:lvlJc w:val="right"/>
      <w:pPr>
        <w:ind w:left="7756" w:hanging="180"/>
      </w:pPr>
      <w:rPr>
        <w:rFonts w:cs="Times New Roman"/>
      </w:rPr>
    </w:lvl>
  </w:abstractNum>
  <w:abstractNum w:abstractNumId="31">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32">
    <w:nsid w:val="790B669F"/>
    <w:multiLevelType w:val="hybridMultilevel"/>
    <w:tmpl w:val="5C163D0E"/>
    <w:lvl w:ilvl="0" w:tplc="AD32058C">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7FD02943"/>
    <w:multiLevelType w:val="hybridMultilevel"/>
    <w:tmpl w:val="4EAA1E42"/>
    <w:lvl w:ilvl="0" w:tplc="33128738">
      <w:start w:val="1"/>
      <w:numFmt w:val="decimal"/>
      <w:lvlText w:val="%1)"/>
      <w:lvlJc w:val="left"/>
      <w:pPr>
        <w:ind w:left="555" w:hanging="339"/>
      </w:pPr>
      <w:rPr>
        <w:rFonts w:ascii="Trebuchet MS" w:eastAsia="Trebuchet MS" w:hAnsi="Trebuchet MS" w:cs="Trebuchet MS" w:hint="default"/>
        <w:spacing w:val="-1"/>
        <w:w w:val="93"/>
        <w:sz w:val="22"/>
        <w:szCs w:val="22"/>
        <w:lang w:val="id" w:eastAsia="en-US" w:bidi="ar-SA"/>
      </w:rPr>
    </w:lvl>
    <w:lvl w:ilvl="1" w:tplc="DFD20760">
      <w:start w:val="1"/>
      <w:numFmt w:val="decimal"/>
      <w:lvlText w:val="%2."/>
      <w:lvlJc w:val="left"/>
      <w:pPr>
        <w:ind w:left="832" w:hanging="340"/>
      </w:pPr>
      <w:rPr>
        <w:rFonts w:ascii="Trebuchet MS" w:eastAsia="Trebuchet MS" w:hAnsi="Trebuchet MS" w:cs="Trebuchet MS" w:hint="default"/>
        <w:spacing w:val="-1"/>
        <w:w w:val="87"/>
        <w:sz w:val="22"/>
        <w:szCs w:val="22"/>
        <w:lang w:val="id" w:eastAsia="en-US" w:bidi="ar-SA"/>
      </w:rPr>
    </w:lvl>
    <w:lvl w:ilvl="2" w:tplc="272AEE80">
      <w:numFmt w:val="bullet"/>
      <w:lvlText w:val="•"/>
      <w:lvlJc w:val="left"/>
      <w:pPr>
        <w:ind w:left="1724" w:hanging="340"/>
      </w:pPr>
      <w:rPr>
        <w:rFonts w:hint="default"/>
        <w:lang w:val="id" w:eastAsia="en-US" w:bidi="ar-SA"/>
      </w:rPr>
    </w:lvl>
    <w:lvl w:ilvl="3" w:tplc="4772643A">
      <w:numFmt w:val="bullet"/>
      <w:lvlText w:val="•"/>
      <w:lvlJc w:val="left"/>
      <w:pPr>
        <w:ind w:left="2608" w:hanging="340"/>
      </w:pPr>
      <w:rPr>
        <w:rFonts w:hint="default"/>
        <w:lang w:val="id" w:eastAsia="en-US" w:bidi="ar-SA"/>
      </w:rPr>
    </w:lvl>
    <w:lvl w:ilvl="4" w:tplc="653AE062">
      <w:numFmt w:val="bullet"/>
      <w:lvlText w:val="•"/>
      <w:lvlJc w:val="left"/>
      <w:pPr>
        <w:ind w:left="3493" w:hanging="340"/>
      </w:pPr>
      <w:rPr>
        <w:rFonts w:hint="default"/>
        <w:lang w:val="id" w:eastAsia="en-US" w:bidi="ar-SA"/>
      </w:rPr>
    </w:lvl>
    <w:lvl w:ilvl="5" w:tplc="ABC66FA6">
      <w:numFmt w:val="bullet"/>
      <w:lvlText w:val="•"/>
      <w:lvlJc w:val="left"/>
      <w:pPr>
        <w:ind w:left="4377" w:hanging="340"/>
      </w:pPr>
      <w:rPr>
        <w:rFonts w:hint="default"/>
        <w:lang w:val="id" w:eastAsia="en-US" w:bidi="ar-SA"/>
      </w:rPr>
    </w:lvl>
    <w:lvl w:ilvl="6" w:tplc="BF6AE020">
      <w:numFmt w:val="bullet"/>
      <w:lvlText w:val="•"/>
      <w:lvlJc w:val="left"/>
      <w:pPr>
        <w:ind w:left="5262" w:hanging="340"/>
      </w:pPr>
      <w:rPr>
        <w:rFonts w:hint="default"/>
        <w:lang w:val="id" w:eastAsia="en-US" w:bidi="ar-SA"/>
      </w:rPr>
    </w:lvl>
    <w:lvl w:ilvl="7" w:tplc="D45A0D60">
      <w:numFmt w:val="bullet"/>
      <w:lvlText w:val="•"/>
      <w:lvlJc w:val="left"/>
      <w:pPr>
        <w:ind w:left="6146" w:hanging="340"/>
      </w:pPr>
      <w:rPr>
        <w:rFonts w:hint="default"/>
        <w:lang w:val="id" w:eastAsia="en-US" w:bidi="ar-SA"/>
      </w:rPr>
    </w:lvl>
    <w:lvl w:ilvl="8" w:tplc="642699CC">
      <w:numFmt w:val="bullet"/>
      <w:lvlText w:val="•"/>
      <w:lvlJc w:val="left"/>
      <w:pPr>
        <w:ind w:left="7031" w:hanging="340"/>
      </w:pPr>
      <w:rPr>
        <w:rFonts w:hint="default"/>
        <w:lang w:val="id" w:eastAsia="en-US" w:bidi="ar-SA"/>
      </w:rPr>
    </w:lvl>
  </w:abstractNum>
  <w:num w:numId="1">
    <w:abstractNumId w:val="2"/>
  </w:num>
  <w:num w:numId="2">
    <w:abstractNumId w:val="23"/>
  </w:num>
  <w:num w:numId="3">
    <w:abstractNumId w:val="5"/>
  </w:num>
  <w:num w:numId="4">
    <w:abstractNumId w:val="13"/>
  </w:num>
  <w:num w:numId="5">
    <w:abstractNumId w:val="20"/>
  </w:num>
  <w:num w:numId="6">
    <w:abstractNumId w:val="32"/>
  </w:num>
  <w:num w:numId="7">
    <w:abstractNumId w:val="18"/>
  </w:num>
  <w:num w:numId="8">
    <w:abstractNumId w:val="4"/>
  </w:num>
  <w:num w:numId="9">
    <w:abstractNumId w:val="28"/>
  </w:num>
  <w:num w:numId="10">
    <w:abstractNumId w:val="0"/>
  </w:num>
  <w:num w:numId="11">
    <w:abstractNumId w:val="24"/>
  </w:num>
  <w:num w:numId="12">
    <w:abstractNumId w:val="19"/>
  </w:num>
  <w:num w:numId="13">
    <w:abstractNumId w:val="12"/>
  </w:num>
  <w:num w:numId="14">
    <w:abstractNumId w:val="25"/>
  </w:num>
  <w:num w:numId="15">
    <w:abstractNumId w:val="22"/>
  </w:num>
  <w:num w:numId="16">
    <w:abstractNumId w:val="7"/>
  </w:num>
  <w:num w:numId="17">
    <w:abstractNumId w:val="9"/>
  </w:num>
  <w:num w:numId="18">
    <w:abstractNumId w:val="29"/>
  </w:num>
  <w:num w:numId="19">
    <w:abstractNumId w:val="6"/>
  </w:num>
  <w:num w:numId="20">
    <w:abstractNumId w:val="17"/>
  </w:num>
  <w:num w:numId="21">
    <w:abstractNumId w:val="26"/>
  </w:num>
  <w:num w:numId="22">
    <w:abstractNumId w:val="21"/>
  </w:num>
  <w:num w:numId="23">
    <w:abstractNumId w:val="30"/>
  </w:num>
  <w:num w:numId="24">
    <w:abstractNumId w:val="27"/>
  </w:num>
  <w:num w:numId="25">
    <w:abstractNumId w:val="11"/>
  </w:num>
  <w:num w:numId="26">
    <w:abstractNumId w:val="31"/>
  </w:num>
  <w:num w:numId="27">
    <w:abstractNumId w:val="1"/>
  </w:num>
  <w:num w:numId="28">
    <w:abstractNumId w:val="10"/>
  </w:num>
  <w:num w:numId="29">
    <w:abstractNumId w:val="15"/>
  </w:num>
  <w:num w:numId="30">
    <w:abstractNumId w:val="33"/>
  </w:num>
  <w:num w:numId="31">
    <w:abstractNumId w:val="14"/>
  </w:num>
  <w:num w:numId="32">
    <w:abstractNumId w:val="3"/>
  </w:num>
  <w:num w:numId="33">
    <w:abstractNumId w:val="16"/>
  </w:num>
  <w:num w:numId="34">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grammar="clean"/>
  <w:defaultTabStop w:val="720"/>
  <w:characterSpacingControl w:val="doNotCompress"/>
  <w:hdrShapeDefaults>
    <o:shapedefaults v:ext="edit" spidmax="2867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B07"/>
    <w:rsid w:val="00011874"/>
    <w:rsid w:val="00014412"/>
    <w:rsid w:val="00015265"/>
    <w:rsid w:val="00035438"/>
    <w:rsid w:val="00041871"/>
    <w:rsid w:val="00043765"/>
    <w:rsid w:val="00045629"/>
    <w:rsid w:val="00067A34"/>
    <w:rsid w:val="00074334"/>
    <w:rsid w:val="00080392"/>
    <w:rsid w:val="00093C3D"/>
    <w:rsid w:val="00093D4A"/>
    <w:rsid w:val="000A2127"/>
    <w:rsid w:val="000A3CCC"/>
    <w:rsid w:val="000A63CA"/>
    <w:rsid w:val="000B3C9F"/>
    <w:rsid w:val="000B7AB7"/>
    <w:rsid w:val="000C309E"/>
    <w:rsid w:val="000D4AFB"/>
    <w:rsid w:val="000D5021"/>
    <w:rsid w:val="000D5261"/>
    <w:rsid w:val="000D56D7"/>
    <w:rsid w:val="000D5739"/>
    <w:rsid w:val="000E2D90"/>
    <w:rsid w:val="000E3818"/>
    <w:rsid w:val="000E3B74"/>
    <w:rsid w:val="000F3313"/>
    <w:rsid w:val="000F4918"/>
    <w:rsid w:val="000F7D45"/>
    <w:rsid w:val="00104ED1"/>
    <w:rsid w:val="00113071"/>
    <w:rsid w:val="001134F8"/>
    <w:rsid w:val="0014717B"/>
    <w:rsid w:val="001544AA"/>
    <w:rsid w:val="00154FE2"/>
    <w:rsid w:val="00163A2B"/>
    <w:rsid w:val="0017237A"/>
    <w:rsid w:val="00172B83"/>
    <w:rsid w:val="00173DB4"/>
    <w:rsid w:val="0018435A"/>
    <w:rsid w:val="001846A1"/>
    <w:rsid w:val="00184A3A"/>
    <w:rsid w:val="00190C26"/>
    <w:rsid w:val="00194037"/>
    <w:rsid w:val="00194CC1"/>
    <w:rsid w:val="001A1B7C"/>
    <w:rsid w:val="001A46DA"/>
    <w:rsid w:val="001A4E91"/>
    <w:rsid w:val="001B005F"/>
    <w:rsid w:val="001B2F58"/>
    <w:rsid w:val="001C106C"/>
    <w:rsid w:val="001F1DFE"/>
    <w:rsid w:val="001F3D71"/>
    <w:rsid w:val="002139CB"/>
    <w:rsid w:val="00213DDF"/>
    <w:rsid w:val="00221D1B"/>
    <w:rsid w:val="00222290"/>
    <w:rsid w:val="00222C39"/>
    <w:rsid w:val="002245A1"/>
    <w:rsid w:val="002273F6"/>
    <w:rsid w:val="002312E9"/>
    <w:rsid w:val="00234199"/>
    <w:rsid w:val="00236E57"/>
    <w:rsid w:val="00240F6B"/>
    <w:rsid w:val="00241913"/>
    <w:rsid w:val="00253486"/>
    <w:rsid w:val="00257E2E"/>
    <w:rsid w:val="002600C2"/>
    <w:rsid w:val="0026174B"/>
    <w:rsid w:val="00262610"/>
    <w:rsid w:val="002648FF"/>
    <w:rsid w:val="00276100"/>
    <w:rsid w:val="00277DA1"/>
    <w:rsid w:val="00280757"/>
    <w:rsid w:val="002815FB"/>
    <w:rsid w:val="0028722A"/>
    <w:rsid w:val="002911F8"/>
    <w:rsid w:val="002A2DC7"/>
    <w:rsid w:val="002A75E0"/>
    <w:rsid w:val="002B3AF1"/>
    <w:rsid w:val="002B725D"/>
    <w:rsid w:val="002C2107"/>
    <w:rsid w:val="002C7AF1"/>
    <w:rsid w:val="002D3515"/>
    <w:rsid w:val="002E1057"/>
    <w:rsid w:val="002F3658"/>
    <w:rsid w:val="00303BBA"/>
    <w:rsid w:val="0032199A"/>
    <w:rsid w:val="00324D8E"/>
    <w:rsid w:val="00331333"/>
    <w:rsid w:val="00332A0B"/>
    <w:rsid w:val="003342C8"/>
    <w:rsid w:val="00341800"/>
    <w:rsid w:val="0034745A"/>
    <w:rsid w:val="003514F8"/>
    <w:rsid w:val="0036367E"/>
    <w:rsid w:val="00371CF3"/>
    <w:rsid w:val="003839BA"/>
    <w:rsid w:val="003A2E7A"/>
    <w:rsid w:val="003A6B46"/>
    <w:rsid w:val="003A7E98"/>
    <w:rsid w:val="003B1460"/>
    <w:rsid w:val="003B19DE"/>
    <w:rsid w:val="003C4D20"/>
    <w:rsid w:val="003C623C"/>
    <w:rsid w:val="003D0FBA"/>
    <w:rsid w:val="003D485C"/>
    <w:rsid w:val="003D5E7E"/>
    <w:rsid w:val="003E051F"/>
    <w:rsid w:val="003E3252"/>
    <w:rsid w:val="003E7375"/>
    <w:rsid w:val="003F2B7D"/>
    <w:rsid w:val="00404DBF"/>
    <w:rsid w:val="004127C7"/>
    <w:rsid w:val="004153DA"/>
    <w:rsid w:val="00416613"/>
    <w:rsid w:val="00416D67"/>
    <w:rsid w:val="00422BA4"/>
    <w:rsid w:val="004241D8"/>
    <w:rsid w:val="004320AF"/>
    <w:rsid w:val="0043481A"/>
    <w:rsid w:val="00436393"/>
    <w:rsid w:val="00436C71"/>
    <w:rsid w:val="00445243"/>
    <w:rsid w:val="0044545E"/>
    <w:rsid w:val="004473B0"/>
    <w:rsid w:val="00454C8E"/>
    <w:rsid w:val="0046795C"/>
    <w:rsid w:val="00474CB4"/>
    <w:rsid w:val="0048254B"/>
    <w:rsid w:val="0049386D"/>
    <w:rsid w:val="004A1695"/>
    <w:rsid w:val="004A2B68"/>
    <w:rsid w:val="004A59A3"/>
    <w:rsid w:val="004A65FC"/>
    <w:rsid w:val="004B1F3E"/>
    <w:rsid w:val="004B351D"/>
    <w:rsid w:val="004C0300"/>
    <w:rsid w:val="004C0794"/>
    <w:rsid w:val="004C5111"/>
    <w:rsid w:val="004D0D55"/>
    <w:rsid w:val="004D2E12"/>
    <w:rsid w:val="004D3B37"/>
    <w:rsid w:val="004D73C2"/>
    <w:rsid w:val="004F3458"/>
    <w:rsid w:val="004F36B5"/>
    <w:rsid w:val="0050724A"/>
    <w:rsid w:val="0051028D"/>
    <w:rsid w:val="005121A5"/>
    <w:rsid w:val="005122DC"/>
    <w:rsid w:val="00513384"/>
    <w:rsid w:val="0051601F"/>
    <w:rsid w:val="005218BC"/>
    <w:rsid w:val="00524769"/>
    <w:rsid w:val="00532CF4"/>
    <w:rsid w:val="00547E06"/>
    <w:rsid w:val="00553792"/>
    <w:rsid w:val="0056049F"/>
    <w:rsid w:val="0056095E"/>
    <w:rsid w:val="005625B5"/>
    <w:rsid w:val="005626E6"/>
    <w:rsid w:val="0056367D"/>
    <w:rsid w:val="00564FEA"/>
    <w:rsid w:val="00573929"/>
    <w:rsid w:val="005855E0"/>
    <w:rsid w:val="00587F4E"/>
    <w:rsid w:val="00594099"/>
    <w:rsid w:val="00594541"/>
    <w:rsid w:val="005A28CD"/>
    <w:rsid w:val="005B3BF6"/>
    <w:rsid w:val="005C0F42"/>
    <w:rsid w:val="005C6C18"/>
    <w:rsid w:val="005D2740"/>
    <w:rsid w:val="005D6912"/>
    <w:rsid w:val="005E4A27"/>
    <w:rsid w:val="005F042E"/>
    <w:rsid w:val="005F7AA0"/>
    <w:rsid w:val="00603EC5"/>
    <w:rsid w:val="00612FF4"/>
    <w:rsid w:val="00614FC1"/>
    <w:rsid w:val="00615B07"/>
    <w:rsid w:val="00622008"/>
    <w:rsid w:val="006223BE"/>
    <w:rsid w:val="0063453F"/>
    <w:rsid w:val="0063611D"/>
    <w:rsid w:val="00640ADD"/>
    <w:rsid w:val="00643889"/>
    <w:rsid w:val="00663A2C"/>
    <w:rsid w:val="00666200"/>
    <w:rsid w:val="00675721"/>
    <w:rsid w:val="00691DDB"/>
    <w:rsid w:val="0069497E"/>
    <w:rsid w:val="0069630E"/>
    <w:rsid w:val="00697078"/>
    <w:rsid w:val="0069776C"/>
    <w:rsid w:val="006A0C46"/>
    <w:rsid w:val="006A19BD"/>
    <w:rsid w:val="006B060B"/>
    <w:rsid w:val="006B1A70"/>
    <w:rsid w:val="006D2CE4"/>
    <w:rsid w:val="006E5C3B"/>
    <w:rsid w:val="006F0CD0"/>
    <w:rsid w:val="006F6201"/>
    <w:rsid w:val="006F6724"/>
    <w:rsid w:val="0070355C"/>
    <w:rsid w:val="0070387D"/>
    <w:rsid w:val="00707E0F"/>
    <w:rsid w:val="00707F62"/>
    <w:rsid w:val="00713BC4"/>
    <w:rsid w:val="00716461"/>
    <w:rsid w:val="00733D76"/>
    <w:rsid w:val="0074227A"/>
    <w:rsid w:val="00745D6E"/>
    <w:rsid w:val="00745F2F"/>
    <w:rsid w:val="00762337"/>
    <w:rsid w:val="007669E6"/>
    <w:rsid w:val="007669EC"/>
    <w:rsid w:val="007670F4"/>
    <w:rsid w:val="00773EA5"/>
    <w:rsid w:val="0077772C"/>
    <w:rsid w:val="007A2414"/>
    <w:rsid w:val="007B319F"/>
    <w:rsid w:val="007B3CF4"/>
    <w:rsid w:val="007B7E92"/>
    <w:rsid w:val="007C0923"/>
    <w:rsid w:val="007C0F46"/>
    <w:rsid w:val="007C5223"/>
    <w:rsid w:val="007D5CD7"/>
    <w:rsid w:val="007E3866"/>
    <w:rsid w:val="007F0B89"/>
    <w:rsid w:val="008103B1"/>
    <w:rsid w:val="00811162"/>
    <w:rsid w:val="00847DB3"/>
    <w:rsid w:val="00850EA0"/>
    <w:rsid w:val="0085730A"/>
    <w:rsid w:val="00862127"/>
    <w:rsid w:val="0086478E"/>
    <w:rsid w:val="00867144"/>
    <w:rsid w:val="008A069E"/>
    <w:rsid w:val="008A5461"/>
    <w:rsid w:val="008A7467"/>
    <w:rsid w:val="008A78B1"/>
    <w:rsid w:val="008B0C1C"/>
    <w:rsid w:val="008B53B4"/>
    <w:rsid w:val="008B6127"/>
    <w:rsid w:val="008B62F4"/>
    <w:rsid w:val="008D10F1"/>
    <w:rsid w:val="008D770A"/>
    <w:rsid w:val="008F29DB"/>
    <w:rsid w:val="008F3490"/>
    <w:rsid w:val="009030F1"/>
    <w:rsid w:val="00903F1E"/>
    <w:rsid w:val="00913124"/>
    <w:rsid w:val="00916442"/>
    <w:rsid w:val="0091750D"/>
    <w:rsid w:val="009206C2"/>
    <w:rsid w:val="00920997"/>
    <w:rsid w:val="00921448"/>
    <w:rsid w:val="00923635"/>
    <w:rsid w:val="00946718"/>
    <w:rsid w:val="00954126"/>
    <w:rsid w:val="009565B7"/>
    <w:rsid w:val="00961AF4"/>
    <w:rsid w:val="009623AF"/>
    <w:rsid w:val="00975C13"/>
    <w:rsid w:val="00975D58"/>
    <w:rsid w:val="00982BEF"/>
    <w:rsid w:val="009903AF"/>
    <w:rsid w:val="0099100B"/>
    <w:rsid w:val="00995817"/>
    <w:rsid w:val="00995F5A"/>
    <w:rsid w:val="009A2C13"/>
    <w:rsid w:val="009C6954"/>
    <w:rsid w:val="009D3D2C"/>
    <w:rsid w:val="009E319D"/>
    <w:rsid w:val="009E446B"/>
    <w:rsid w:val="009E5F3D"/>
    <w:rsid w:val="009E77F5"/>
    <w:rsid w:val="009F2BF7"/>
    <w:rsid w:val="009F6DED"/>
    <w:rsid w:val="00A03D03"/>
    <w:rsid w:val="00A1065E"/>
    <w:rsid w:val="00A10AAB"/>
    <w:rsid w:val="00A11E42"/>
    <w:rsid w:val="00A15963"/>
    <w:rsid w:val="00A212D3"/>
    <w:rsid w:val="00A23972"/>
    <w:rsid w:val="00A25F83"/>
    <w:rsid w:val="00A27BF3"/>
    <w:rsid w:val="00A413FB"/>
    <w:rsid w:val="00A44485"/>
    <w:rsid w:val="00A5215D"/>
    <w:rsid w:val="00A57AA3"/>
    <w:rsid w:val="00A603C5"/>
    <w:rsid w:val="00A64B69"/>
    <w:rsid w:val="00A75219"/>
    <w:rsid w:val="00A92C3F"/>
    <w:rsid w:val="00A9385D"/>
    <w:rsid w:val="00A94F5E"/>
    <w:rsid w:val="00A95260"/>
    <w:rsid w:val="00A9558F"/>
    <w:rsid w:val="00AA1C16"/>
    <w:rsid w:val="00AB380C"/>
    <w:rsid w:val="00AB3E4F"/>
    <w:rsid w:val="00AB505F"/>
    <w:rsid w:val="00AB78D1"/>
    <w:rsid w:val="00AC4FA5"/>
    <w:rsid w:val="00AD2B97"/>
    <w:rsid w:val="00AD2F33"/>
    <w:rsid w:val="00AD30AF"/>
    <w:rsid w:val="00AD3835"/>
    <w:rsid w:val="00AE574F"/>
    <w:rsid w:val="00AF41D6"/>
    <w:rsid w:val="00AF4629"/>
    <w:rsid w:val="00B02AF6"/>
    <w:rsid w:val="00B1615F"/>
    <w:rsid w:val="00B179BF"/>
    <w:rsid w:val="00B211F1"/>
    <w:rsid w:val="00B22994"/>
    <w:rsid w:val="00B274B3"/>
    <w:rsid w:val="00B342BD"/>
    <w:rsid w:val="00B34785"/>
    <w:rsid w:val="00B443F6"/>
    <w:rsid w:val="00B4558D"/>
    <w:rsid w:val="00B45846"/>
    <w:rsid w:val="00B46D03"/>
    <w:rsid w:val="00B47257"/>
    <w:rsid w:val="00B57451"/>
    <w:rsid w:val="00B61972"/>
    <w:rsid w:val="00B62684"/>
    <w:rsid w:val="00B62F85"/>
    <w:rsid w:val="00B64183"/>
    <w:rsid w:val="00B7286F"/>
    <w:rsid w:val="00B90844"/>
    <w:rsid w:val="00B93A20"/>
    <w:rsid w:val="00B94809"/>
    <w:rsid w:val="00B95351"/>
    <w:rsid w:val="00B97014"/>
    <w:rsid w:val="00B974A7"/>
    <w:rsid w:val="00BA06AC"/>
    <w:rsid w:val="00BA458D"/>
    <w:rsid w:val="00BA4FE8"/>
    <w:rsid w:val="00BA673F"/>
    <w:rsid w:val="00BB11C7"/>
    <w:rsid w:val="00BB3FD7"/>
    <w:rsid w:val="00BB51AF"/>
    <w:rsid w:val="00BC4F00"/>
    <w:rsid w:val="00BC5A3C"/>
    <w:rsid w:val="00BC6F23"/>
    <w:rsid w:val="00BD5271"/>
    <w:rsid w:val="00BF23C5"/>
    <w:rsid w:val="00C23CDB"/>
    <w:rsid w:val="00C26B6B"/>
    <w:rsid w:val="00C32D06"/>
    <w:rsid w:val="00C32EEC"/>
    <w:rsid w:val="00C365B1"/>
    <w:rsid w:val="00C41132"/>
    <w:rsid w:val="00C47DD2"/>
    <w:rsid w:val="00C53AEE"/>
    <w:rsid w:val="00C61915"/>
    <w:rsid w:val="00C64566"/>
    <w:rsid w:val="00C74449"/>
    <w:rsid w:val="00C74466"/>
    <w:rsid w:val="00C76B22"/>
    <w:rsid w:val="00C87339"/>
    <w:rsid w:val="00C95835"/>
    <w:rsid w:val="00CA7313"/>
    <w:rsid w:val="00CB0CC8"/>
    <w:rsid w:val="00CB111D"/>
    <w:rsid w:val="00CB13F2"/>
    <w:rsid w:val="00CB17E4"/>
    <w:rsid w:val="00CB46E7"/>
    <w:rsid w:val="00CD32C7"/>
    <w:rsid w:val="00CD7710"/>
    <w:rsid w:val="00CE4574"/>
    <w:rsid w:val="00CF4170"/>
    <w:rsid w:val="00D06DC9"/>
    <w:rsid w:val="00D11C9E"/>
    <w:rsid w:val="00D2594C"/>
    <w:rsid w:val="00D27C40"/>
    <w:rsid w:val="00D351F8"/>
    <w:rsid w:val="00D36401"/>
    <w:rsid w:val="00D40EDD"/>
    <w:rsid w:val="00D55EAC"/>
    <w:rsid w:val="00D60251"/>
    <w:rsid w:val="00D62EB8"/>
    <w:rsid w:val="00D71C55"/>
    <w:rsid w:val="00D8233C"/>
    <w:rsid w:val="00DA7809"/>
    <w:rsid w:val="00DB6AFE"/>
    <w:rsid w:val="00DB73A4"/>
    <w:rsid w:val="00DB74EE"/>
    <w:rsid w:val="00DC0364"/>
    <w:rsid w:val="00DC271B"/>
    <w:rsid w:val="00DC5597"/>
    <w:rsid w:val="00DC7FAF"/>
    <w:rsid w:val="00DD2970"/>
    <w:rsid w:val="00DE262B"/>
    <w:rsid w:val="00DE31A1"/>
    <w:rsid w:val="00DE3764"/>
    <w:rsid w:val="00DE73A0"/>
    <w:rsid w:val="00DF070B"/>
    <w:rsid w:val="00E005D1"/>
    <w:rsid w:val="00E04410"/>
    <w:rsid w:val="00E05CF0"/>
    <w:rsid w:val="00E07396"/>
    <w:rsid w:val="00E077EA"/>
    <w:rsid w:val="00E1197B"/>
    <w:rsid w:val="00E2326F"/>
    <w:rsid w:val="00E23FA0"/>
    <w:rsid w:val="00E27849"/>
    <w:rsid w:val="00E3066F"/>
    <w:rsid w:val="00E33578"/>
    <w:rsid w:val="00E44114"/>
    <w:rsid w:val="00E441CF"/>
    <w:rsid w:val="00E46E19"/>
    <w:rsid w:val="00E52F0F"/>
    <w:rsid w:val="00E5365F"/>
    <w:rsid w:val="00E62392"/>
    <w:rsid w:val="00E66241"/>
    <w:rsid w:val="00E706E0"/>
    <w:rsid w:val="00E71A27"/>
    <w:rsid w:val="00E74E34"/>
    <w:rsid w:val="00E94C40"/>
    <w:rsid w:val="00EB53D1"/>
    <w:rsid w:val="00EB6655"/>
    <w:rsid w:val="00EC5582"/>
    <w:rsid w:val="00ED0595"/>
    <w:rsid w:val="00ED4811"/>
    <w:rsid w:val="00ED5332"/>
    <w:rsid w:val="00ED5C88"/>
    <w:rsid w:val="00ED5EF0"/>
    <w:rsid w:val="00EF7B48"/>
    <w:rsid w:val="00F01FEA"/>
    <w:rsid w:val="00F10AB7"/>
    <w:rsid w:val="00F1142B"/>
    <w:rsid w:val="00F1281F"/>
    <w:rsid w:val="00F12DDF"/>
    <w:rsid w:val="00F138E2"/>
    <w:rsid w:val="00F13D4E"/>
    <w:rsid w:val="00F17153"/>
    <w:rsid w:val="00F20F9E"/>
    <w:rsid w:val="00F22878"/>
    <w:rsid w:val="00F244AD"/>
    <w:rsid w:val="00F25D47"/>
    <w:rsid w:val="00F30D29"/>
    <w:rsid w:val="00F324A4"/>
    <w:rsid w:val="00F34F02"/>
    <w:rsid w:val="00F4188D"/>
    <w:rsid w:val="00F44F6F"/>
    <w:rsid w:val="00F63106"/>
    <w:rsid w:val="00F832DB"/>
    <w:rsid w:val="00F8677C"/>
    <w:rsid w:val="00F9481F"/>
    <w:rsid w:val="00FA10D3"/>
    <w:rsid w:val="00FA2109"/>
    <w:rsid w:val="00FB3567"/>
    <w:rsid w:val="00FB6ACC"/>
    <w:rsid w:val="00FB7AF9"/>
    <w:rsid w:val="00FC4C9C"/>
    <w:rsid w:val="00FD746C"/>
    <w:rsid w:val="00FE0A97"/>
    <w:rsid w:val="00FE3802"/>
    <w:rsid w:val="00FE5538"/>
    <w:rsid w:val="00FF0354"/>
    <w:rsid w:val="00FF0995"/>
    <w:rsid w:val="00FF182C"/>
    <w:rsid w:val="00FF72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EC5"/>
    <w:pPr>
      <w:spacing w:after="200" w:line="276" w:lineRule="auto"/>
    </w:pPr>
    <w:rPr>
      <w:sz w:val="22"/>
      <w:szCs w:val="22"/>
      <w:lang w:val="id-ID"/>
    </w:rPr>
  </w:style>
  <w:style w:type="paragraph" w:styleId="Heading1">
    <w:name w:val="heading 1"/>
    <w:basedOn w:val="Normal"/>
    <w:link w:val="Heading1Char"/>
    <w:uiPriority w:val="9"/>
    <w:qFormat/>
    <w:rsid w:val="009E319D"/>
    <w:pPr>
      <w:widowControl w:val="0"/>
      <w:spacing w:after="0" w:line="240" w:lineRule="auto"/>
      <w:outlineLvl w:val="0"/>
    </w:pPr>
    <w:rPr>
      <w:rFonts w:ascii="Times New Roman" w:eastAsia="Times New Roman" w:hAnsi="Times New Roman"/>
      <w:b/>
      <w:bCs/>
      <w:sz w:val="24"/>
      <w:szCs w:val="24"/>
      <w:lang w:val="x-none" w:eastAsia="x-none"/>
    </w:rPr>
  </w:style>
  <w:style w:type="paragraph" w:styleId="Heading3">
    <w:name w:val="heading 3"/>
    <w:basedOn w:val="Normal"/>
    <w:next w:val="Normal"/>
    <w:link w:val="Heading3Char"/>
    <w:uiPriority w:val="9"/>
    <w:semiHidden/>
    <w:unhideWhenUsed/>
    <w:qFormat/>
    <w:rsid w:val="00C53AEE"/>
    <w:pPr>
      <w:keepNext/>
      <w:spacing w:before="240" w:after="60"/>
      <w:outlineLvl w:val="2"/>
    </w:pPr>
    <w:rPr>
      <w:rFonts w:ascii="Calibri Light" w:eastAsia="Times New Roman" w:hAnsi="Calibri Light"/>
      <w:b/>
      <w:b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B07"/>
  </w:style>
  <w:style w:type="paragraph" w:styleId="Footer">
    <w:name w:val="footer"/>
    <w:basedOn w:val="Normal"/>
    <w:link w:val="FooterChar"/>
    <w:uiPriority w:val="99"/>
    <w:unhideWhenUsed/>
    <w:rsid w:val="00615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B07"/>
  </w:style>
  <w:style w:type="paragraph" w:styleId="BalloonText">
    <w:name w:val="Balloon Text"/>
    <w:basedOn w:val="Normal"/>
    <w:link w:val="BalloonTextChar"/>
    <w:uiPriority w:val="99"/>
    <w:semiHidden/>
    <w:unhideWhenUsed/>
    <w:rsid w:val="00615B07"/>
    <w:pPr>
      <w:spacing w:after="0" w:line="240" w:lineRule="auto"/>
    </w:pPr>
    <w:rPr>
      <w:rFonts w:ascii="Segoe UI" w:eastAsia="Times New Roman" w:hAnsi="Segoe UI"/>
      <w:sz w:val="18"/>
      <w:szCs w:val="18"/>
      <w:lang w:eastAsia="x-none"/>
    </w:rPr>
  </w:style>
  <w:style w:type="character" w:customStyle="1" w:styleId="BalloonTextChar">
    <w:name w:val="Balloon Text Char"/>
    <w:link w:val="BalloonText"/>
    <w:uiPriority w:val="99"/>
    <w:semiHidden/>
    <w:rsid w:val="00615B07"/>
    <w:rPr>
      <w:rFonts w:ascii="Segoe UI" w:eastAsia="Times New Roman" w:hAnsi="Segoe UI" w:cs="Segoe UI"/>
      <w:sz w:val="18"/>
      <w:szCs w:val="18"/>
      <w:lang w:val="id-ID"/>
    </w:rPr>
  </w:style>
  <w:style w:type="character" w:styleId="Hyperlink">
    <w:name w:val="Hyperlink"/>
    <w:uiPriority w:val="99"/>
    <w:rsid w:val="00615B07"/>
    <w:rPr>
      <w:rFonts w:cs="Times New Roman"/>
      <w:color w:val="0000FF"/>
      <w:u w:val="single"/>
    </w:rPr>
  </w:style>
  <w:style w:type="character" w:customStyle="1" w:styleId="UnresolvedMention">
    <w:name w:val="Unresolved Mention"/>
    <w:uiPriority w:val="99"/>
    <w:semiHidden/>
    <w:unhideWhenUsed/>
    <w:rsid w:val="00615B07"/>
    <w:rPr>
      <w:color w:val="605E5C"/>
      <w:shd w:val="clear" w:color="auto" w:fill="E1DFDD"/>
    </w:rPr>
  </w:style>
  <w:style w:type="paragraph" w:customStyle="1" w:styleId="Default">
    <w:name w:val="Default"/>
    <w:rsid w:val="005B3BF6"/>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uiPriority w:val="9"/>
    <w:rsid w:val="009E319D"/>
    <w:rPr>
      <w:rFonts w:ascii="Times New Roman" w:eastAsia="Times New Roman" w:hAnsi="Times New Roman"/>
      <w:b/>
      <w:bCs/>
      <w:sz w:val="24"/>
      <w:szCs w:val="24"/>
    </w:rPr>
  </w:style>
  <w:style w:type="paragraph" w:styleId="BodyText">
    <w:name w:val="Body Text"/>
    <w:basedOn w:val="Normal"/>
    <w:link w:val="BodyTextChar"/>
    <w:uiPriority w:val="1"/>
    <w:qFormat/>
    <w:rsid w:val="009E319D"/>
    <w:pPr>
      <w:widowControl w:val="0"/>
      <w:spacing w:after="0" w:line="240" w:lineRule="auto"/>
      <w:ind w:left="110" w:firstLine="630"/>
    </w:pPr>
    <w:rPr>
      <w:rFonts w:ascii="Times New Roman" w:eastAsia="Times New Roman" w:hAnsi="Times New Roman"/>
      <w:sz w:val="24"/>
      <w:szCs w:val="24"/>
      <w:lang w:val="x-none" w:eastAsia="x-none"/>
    </w:rPr>
  </w:style>
  <w:style w:type="character" w:customStyle="1" w:styleId="BodyTextChar">
    <w:name w:val="Body Text Char"/>
    <w:link w:val="BodyText"/>
    <w:uiPriority w:val="1"/>
    <w:rsid w:val="009E319D"/>
    <w:rPr>
      <w:rFonts w:ascii="Times New Roman" w:eastAsia="Times New Roman" w:hAnsi="Times New Roman"/>
      <w:sz w:val="24"/>
      <w:szCs w:val="24"/>
    </w:rPr>
  </w:style>
  <w:style w:type="paragraph" w:styleId="ListParagraph">
    <w:name w:val="List Paragraph"/>
    <w:basedOn w:val="Normal"/>
    <w:link w:val="ListParagraphChar"/>
    <w:uiPriority w:val="34"/>
    <w:qFormat/>
    <w:rsid w:val="004320AF"/>
    <w:pPr>
      <w:widowControl w:val="0"/>
      <w:spacing w:after="0" w:line="240" w:lineRule="auto"/>
    </w:pPr>
  </w:style>
  <w:style w:type="paragraph" w:customStyle="1" w:styleId="TableParagraph">
    <w:name w:val="Table Paragraph"/>
    <w:basedOn w:val="Normal"/>
    <w:uiPriority w:val="1"/>
    <w:qFormat/>
    <w:rsid w:val="004320AF"/>
    <w:pPr>
      <w:widowControl w:val="0"/>
      <w:spacing w:after="0" w:line="240" w:lineRule="auto"/>
    </w:pPr>
  </w:style>
  <w:style w:type="paragraph" w:styleId="EndnoteText">
    <w:name w:val="endnote text"/>
    <w:basedOn w:val="Normal"/>
    <w:link w:val="EndnoteTextChar"/>
    <w:uiPriority w:val="99"/>
    <w:unhideWhenUsed/>
    <w:rsid w:val="00903F1E"/>
    <w:pPr>
      <w:spacing w:after="0" w:line="240" w:lineRule="auto"/>
    </w:pPr>
    <w:rPr>
      <w:rFonts w:eastAsia="Times New Roman"/>
      <w:sz w:val="20"/>
      <w:szCs w:val="20"/>
      <w:lang w:eastAsia="ja-JP"/>
    </w:rPr>
  </w:style>
  <w:style w:type="character" w:customStyle="1" w:styleId="EndnoteTextChar">
    <w:name w:val="Endnote Text Char"/>
    <w:link w:val="EndnoteText"/>
    <w:uiPriority w:val="99"/>
    <w:rsid w:val="00903F1E"/>
    <w:rPr>
      <w:rFonts w:eastAsia="Times New Roman"/>
      <w:sz w:val="20"/>
      <w:szCs w:val="20"/>
      <w:lang w:val="id-ID" w:eastAsia="ja-JP"/>
    </w:rPr>
  </w:style>
  <w:style w:type="character" w:styleId="EndnoteReference">
    <w:name w:val="endnote reference"/>
    <w:uiPriority w:val="99"/>
    <w:unhideWhenUsed/>
    <w:rsid w:val="00903F1E"/>
    <w:rPr>
      <w:vertAlign w:val="superscript"/>
    </w:rPr>
  </w:style>
  <w:style w:type="paragraph" w:styleId="NormalWeb">
    <w:name w:val="Normal (Web)"/>
    <w:basedOn w:val="Normal"/>
    <w:uiPriority w:val="99"/>
    <w:unhideWhenUsed/>
    <w:rsid w:val="001F1DF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9565B7"/>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style>
  <w:style w:type="paragraph" w:styleId="FootnoteText">
    <w:name w:val="footnote text"/>
    <w:aliases w:val="نص حاشية سفلية Char,نص حاشية سفلية Char Char,نص حاشية سفلية Char Char Char Char Char Char Char,نص حاشية سفلية Char Char Char  Char Char Char Char,نص حاشية سفلية Char Char1"/>
    <w:basedOn w:val="Normal"/>
    <w:link w:val="FootnoteTextChar"/>
    <w:unhideWhenUsed/>
    <w:rsid w:val="00CB111D"/>
    <w:pPr>
      <w:spacing w:after="0" w:line="240" w:lineRule="auto"/>
    </w:pPr>
    <w:rPr>
      <w:sz w:val="20"/>
      <w:szCs w:val="20"/>
      <w:lang w:val="x-none" w:eastAsia="x-none"/>
    </w:rPr>
  </w:style>
  <w:style w:type="character" w:customStyle="1" w:styleId="FootnoteTextChar">
    <w:name w:val="Footnote Text Char"/>
    <w:aliases w:val="نص حاشية سفلية Char Char2,نص حاشية سفلية Char Char Char,نص حاشية سفلية Char Char Char Char Char Char Char Char,نص حاشية سفلية Char Char Char  Char Char Char Char Char,نص حاشية سفلية Char Char1 Char"/>
    <w:link w:val="FootnoteText"/>
    <w:rsid w:val="00CB111D"/>
    <w:rPr>
      <w:rFonts w:ascii="Calibri" w:eastAsia="Calibri" w:hAnsi="Calibri" w:cs="Arial"/>
      <w:sz w:val="20"/>
      <w:szCs w:val="20"/>
    </w:rPr>
  </w:style>
  <w:style w:type="character" w:styleId="Emphasis">
    <w:name w:val="Emphasis"/>
    <w:uiPriority w:val="20"/>
    <w:qFormat/>
    <w:rsid w:val="00F25D47"/>
    <w:rPr>
      <w:rFonts w:cs="Times New Roman"/>
      <w:i/>
      <w:iCs/>
    </w:rPr>
  </w:style>
  <w:style w:type="character" w:customStyle="1" w:styleId="fontstyle01">
    <w:name w:val="fontstyle01"/>
    <w:rsid w:val="00AD30AF"/>
    <w:rPr>
      <w:rFonts w:ascii="Garamond-Bold" w:hAnsi="Garamond-Bold" w:hint="default"/>
      <w:b/>
      <w:bCs/>
      <w:i w:val="0"/>
      <w:iCs w:val="0"/>
      <w:color w:val="000000"/>
      <w:sz w:val="26"/>
      <w:szCs w:val="26"/>
    </w:rPr>
  </w:style>
  <w:style w:type="character" w:customStyle="1" w:styleId="ListParagraphChar">
    <w:name w:val="List Paragraph Char"/>
    <w:link w:val="ListParagraph"/>
    <w:uiPriority w:val="34"/>
    <w:locked/>
    <w:rsid w:val="008B62F4"/>
  </w:style>
  <w:style w:type="paragraph" w:styleId="BodyTextIndent2">
    <w:name w:val="Body Text Indent 2"/>
    <w:basedOn w:val="Normal"/>
    <w:link w:val="BodyTextIndent2Char"/>
    <w:uiPriority w:val="99"/>
    <w:semiHidden/>
    <w:unhideWhenUsed/>
    <w:rsid w:val="00CD7710"/>
    <w:pPr>
      <w:spacing w:after="120" w:line="480" w:lineRule="auto"/>
      <w:ind w:left="360"/>
    </w:pPr>
    <w:rPr>
      <w:sz w:val="20"/>
      <w:szCs w:val="20"/>
      <w:lang w:eastAsia="x-none"/>
    </w:rPr>
  </w:style>
  <w:style w:type="character" w:customStyle="1" w:styleId="BodyTextIndent2Char">
    <w:name w:val="Body Text Indent 2 Char"/>
    <w:link w:val="BodyTextIndent2"/>
    <w:uiPriority w:val="99"/>
    <w:semiHidden/>
    <w:rsid w:val="00CD7710"/>
    <w:rPr>
      <w:rFonts w:ascii="Calibri" w:eastAsia="Calibri" w:hAnsi="Calibri" w:cs="Times New Roman"/>
      <w:lang w:val="id-ID"/>
    </w:rPr>
  </w:style>
  <w:style w:type="paragraph" w:styleId="Bibliography">
    <w:name w:val="Bibliography"/>
    <w:basedOn w:val="Normal"/>
    <w:next w:val="Normal"/>
    <w:uiPriority w:val="37"/>
    <w:unhideWhenUsed/>
    <w:rsid w:val="00923635"/>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
    <w:unhideWhenUsed/>
    <w:rsid w:val="0070387D"/>
    <w:rPr>
      <w:vertAlign w:val="superscript"/>
    </w:rPr>
  </w:style>
  <w:style w:type="table" w:styleId="TableList3">
    <w:name w:val="Table List 3"/>
    <w:basedOn w:val="TableNormal"/>
    <w:uiPriority w:val="99"/>
    <w:rsid w:val="00190C26"/>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rsid w:val="00DC271B"/>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rsid w:val="00A1065E"/>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paragraph" w:customStyle="1" w:styleId="Body">
    <w:name w:val="Body"/>
    <w:rsid w:val="002A2DC7"/>
    <w:pPr>
      <w:pBdr>
        <w:top w:val="nil"/>
        <w:left w:val="nil"/>
        <w:bottom w:val="nil"/>
        <w:right w:val="nil"/>
        <w:between w:val="nil"/>
        <w:bar w:val="nil"/>
      </w:pBdr>
      <w:spacing w:after="160" w:line="259" w:lineRule="auto"/>
    </w:pPr>
    <w:rPr>
      <w:rFonts w:cs="Calibri"/>
      <w:color w:val="000000"/>
      <w:sz w:val="22"/>
      <w:szCs w:val="22"/>
      <w:u w:color="000000"/>
      <w:bdr w:val="nil"/>
    </w:rPr>
  </w:style>
  <w:style w:type="character" w:customStyle="1" w:styleId="None">
    <w:name w:val="None"/>
    <w:rsid w:val="002A2DC7"/>
  </w:style>
  <w:style w:type="character" w:customStyle="1" w:styleId="Hyperlink0">
    <w:name w:val="Hyperlink.0"/>
    <w:rsid w:val="002A2DC7"/>
    <w:rPr>
      <w:u w:val="single"/>
      <w:lang w:val="it-IT"/>
    </w:rPr>
  </w:style>
  <w:style w:type="character" w:customStyle="1" w:styleId="Hyperlink1">
    <w:name w:val="Hyperlink.1"/>
    <w:rsid w:val="002A2DC7"/>
    <w:rPr>
      <w:color w:val="010101"/>
      <w:u w:val="single" w:color="000000"/>
    </w:rPr>
  </w:style>
  <w:style w:type="character" w:customStyle="1" w:styleId="Link">
    <w:name w:val="Link"/>
    <w:rsid w:val="00A03D03"/>
    <w:rPr>
      <w:color w:val="0000FF"/>
      <w:u w:val="single" w:color="0000FF"/>
    </w:rPr>
  </w:style>
  <w:style w:type="character" w:customStyle="1" w:styleId="Heading3Char">
    <w:name w:val="Heading 3 Char"/>
    <w:link w:val="Heading3"/>
    <w:uiPriority w:val="9"/>
    <w:semiHidden/>
    <w:rsid w:val="00C53AEE"/>
    <w:rPr>
      <w:rFonts w:ascii="Calibri Light" w:eastAsia="Times New Roman" w:hAnsi="Calibri Light" w:cs="Times New Roman"/>
      <w:b/>
      <w:bCs/>
      <w:sz w:val="26"/>
      <w:szCs w:val="26"/>
      <w:lang w:val="id-ID"/>
    </w:rPr>
  </w:style>
  <w:style w:type="character" w:customStyle="1" w:styleId="personname">
    <w:name w:val="person_name"/>
    <w:basedOn w:val="DefaultParagraphFont"/>
    <w:rsid w:val="008A7467"/>
  </w:style>
  <w:style w:type="character" w:customStyle="1" w:styleId="q4iawc">
    <w:name w:val="q4iawc"/>
    <w:rsid w:val="003A2E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EC5"/>
    <w:pPr>
      <w:spacing w:after="200" w:line="276" w:lineRule="auto"/>
    </w:pPr>
    <w:rPr>
      <w:sz w:val="22"/>
      <w:szCs w:val="22"/>
      <w:lang w:val="id-ID"/>
    </w:rPr>
  </w:style>
  <w:style w:type="paragraph" w:styleId="Heading1">
    <w:name w:val="heading 1"/>
    <w:basedOn w:val="Normal"/>
    <w:link w:val="Heading1Char"/>
    <w:uiPriority w:val="9"/>
    <w:qFormat/>
    <w:rsid w:val="009E319D"/>
    <w:pPr>
      <w:widowControl w:val="0"/>
      <w:spacing w:after="0" w:line="240" w:lineRule="auto"/>
      <w:outlineLvl w:val="0"/>
    </w:pPr>
    <w:rPr>
      <w:rFonts w:ascii="Times New Roman" w:eastAsia="Times New Roman" w:hAnsi="Times New Roman"/>
      <w:b/>
      <w:bCs/>
      <w:sz w:val="24"/>
      <w:szCs w:val="24"/>
      <w:lang w:val="x-none" w:eastAsia="x-none"/>
    </w:rPr>
  </w:style>
  <w:style w:type="paragraph" w:styleId="Heading3">
    <w:name w:val="heading 3"/>
    <w:basedOn w:val="Normal"/>
    <w:next w:val="Normal"/>
    <w:link w:val="Heading3Char"/>
    <w:uiPriority w:val="9"/>
    <w:semiHidden/>
    <w:unhideWhenUsed/>
    <w:qFormat/>
    <w:rsid w:val="00C53AEE"/>
    <w:pPr>
      <w:keepNext/>
      <w:spacing w:before="240" w:after="60"/>
      <w:outlineLvl w:val="2"/>
    </w:pPr>
    <w:rPr>
      <w:rFonts w:ascii="Calibri Light" w:eastAsia="Times New Roman" w:hAnsi="Calibri Light"/>
      <w:b/>
      <w:bCs/>
      <w:sz w:val="26"/>
      <w:szCs w:val="26"/>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5B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5B07"/>
  </w:style>
  <w:style w:type="paragraph" w:styleId="Footer">
    <w:name w:val="footer"/>
    <w:basedOn w:val="Normal"/>
    <w:link w:val="FooterChar"/>
    <w:uiPriority w:val="99"/>
    <w:unhideWhenUsed/>
    <w:rsid w:val="00615B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5B07"/>
  </w:style>
  <w:style w:type="paragraph" w:styleId="BalloonText">
    <w:name w:val="Balloon Text"/>
    <w:basedOn w:val="Normal"/>
    <w:link w:val="BalloonTextChar"/>
    <w:uiPriority w:val="99"/>
    <w:semiHidden/>
    <w:unhideWhenUsed/>
    <w:rsid w:val="00615B07"/>
    <w:pPr>
      <w:spacing w:after="0" w:line="240" w:lineRule="auto"/>
    </w:pPr>
    <w:rPr>
      <w:rFonts w:ascii="Segoe UI" w:eastAsia="Times New Roman" w:hAnsi="Segoe UI"/>
      <w:sz w:val="18"/>
      <w:szCs w:val="18"/>
      <w:lang w:eastAsia="x-none"/>
    </w:rPr>
  </w:style>
  <w:style w:type="character" w:customStyle="1" w:styleId="BalloonTextChar">
    <w:name w:val="Balloon Text Char"/>
    <w:link w:val="BalloonText"/>
    <w:uiPriority w:val="99"/>
    <w:semiHidden/>
    <w:rsid w:val="00615B07"/>
    <w:rPr>
      <w:rFonts w:ascii="Segoe UI" w:eastAsia="Times New Roman" w:hAnsi="Segoe UI" w:cs="Segoe UI"/>
      <w:sz w:val="18"/>
      <w:szCs w:val="18"/>
      <w:lang w:val="id-ID"/>
    </w:rPr>
  </w:style>
  <w:style w:type="character" w:styleId="Hyperlink">
    <w:name w:val="Hyperlink"/>
    <w:uiPriority w:val="99"/>
    <w:rsid w:val="00615B07"/>
    <w:rPr>
      <w:rFonts w:cs="Times New Roman"/>
      <w:color w:val="0000FF"/>
      <w:u w:val="single"/>
    </w:rPr>
  </w:style>
  <w:style w:type="character" w:customStyle="1" w:styleId="UnresolvedMention">
    <w:name w:val="Unresolved Mention"/>
    <w:uiPriority w:val="99"/>
    <w:semiHidden/>
    <w:unhideWhenUsed/>
    <w:rsid w:val="00615B07"/>
    <w:rPr>
      <w:color w:val="605E5C"/>
      <w:shd w:val="clear" w:color="auto" w:fill="E1DFDD"/>
    </w:rPr>
  </w:style>
  <w:style w:type="paragraph" w:customStyle="1" w:styleId="Default">
    <w:name w:val="Default"/>
    <w:rsid w:val="005B3BF6"/>
    <w:pPr>
      <w:autoSpaceDE w:val="0"/>
      <w:autoSpaceDN w:val="0"/>
      <w:adjustRightInd w:val="0"/>
    </w:pPr>
    <w:rPr>
      <w:rFonts w:ascii="Times New Roman" w:hAnsi="Times New Roman"/>
      <w:color w:val="000000"/>
      <w:sz w:val="24"/>
      <w:szCs w:val="24"/>
    </w:rPr>
  </w:style>
  <w:style w:type="character" w:customStyle="1" w:styleId="Heading1Char">
    <w:name w:val="Heading 1 Char"/>
    <w:link w:val="Heading1"/>
    <w:uiPriority w:val="9"/>
    <w:rsid w:val="009E319D"/>
    <w:rPr>
      <w:rFonts w:ascii="Times New Roman" w:eastAsia="Times New Roman" w:hAnsi="Times New Roman"/>
      <w:b/>
      <w:bCs/>
      <w:sz w:val="24"/>
      <w:szCs w:val="24"/>
    </w:rPr>
  </w:style>
  <w:style w:type="paragraph" w:styleId="BodyText">
    <w:name w:val="Body Text"/>
    <w:basedOn w:val="Normal"/>
    <w:link w:val="BodyTextChar"/>
    <w:uiPriority w:val="1"/>
    <w:qFormat/>
    <w:rsid w:val="009E319D"/>
    <w:pPr>
      <w:widowControl w:val="0"/>
      <w:spacing w:after="0" w:line="240" w:lineRule="auto"/>
      <w:ind w:left="110" w:firstLine="630"/>
    </w:pPr>
    <w:rPr>
      <w:rFonts w:ascii="Times New Roman" w:eastAsia="Times New Roman" w:hAnsi="Times New Roman"/>
      <w:sz w:val="24"/>
      <w:szCs w:val="24"/>
      <w:lang w:val="x-none" w:eastAsia="x-none"/>
    </w:rPr>
  </w:style>
  <w:style w:type="character" w:customStyle="1" w:styleId="BodyTextChar">
    <w:name w:val="Body Text Char"/>
    <w:link w:val="BodyText"/>
    <w:uiPriority w:val="1"/>
    <w:rsid w:val="009E319D"/>
    <w:rPr>
      <w:rFonts w:ascii="Times New Roman" w:eastAsia="Times New Roman" w:hAnsi="Times New Roman"/>
      <w:sz w:val="24"/>
      <w:szCs w:val="24"/>
    </w:rPr>
  </w:style>
  <w:style w:type="paragraph" w:styleId="ListParagraph">
    <w:name w:val="List Paragraph"/>
    <w:basedOn w:val="Normal"/>
    <w:link w:val="ListParagraphChar"/>
    <w:uiPriority w:val="34"/>
    <w:qFormat/>
    <w:rsid w:val="004320AF"/>
    <w:pPr>
      <w:widowControl w:val="0"/>
      <w:spacing w:after="0" w:line="240" w:lineRule="auto"/>
    </w:pPr>
  </w:style>
  <w:style w:type="paragraph" w:customStyle="1" w:styleId="TableParagraph">
    <w:name w:val="Table Paragraph"/>
    <w:basedOn w:val="Normal"/>
    <w:uiPriority w:val="1"/>
    <w:qFormat/>
    <w:rsid w:val="004320AF"/>
    <w:pPr>
      <w:widowControl w:val="0"/>
      <w:spacing w:after="0" w:line="240" w:lineRule="auto"/>
    </w:pPr>
  </w:style>
  <w:style w:type="paragraph" w:styleId="EndnoteText">
    <w:name w:val="endnote text"/>
    <w:basedOn w:val="Normal"/>
    <w:link w:val="EndnoteTextChar"/>
    <w:uiPriority w:val="99"/>
    <w:unhideWhenUsed/>
    <w:rsid w:val="00903F1E"/>
    <w:pPr>
      <w:spacing w:after="0" w:line="240" w:lineRule="auto"/>
    </w:pPr>
    <w:rPr>
      <w:rFonts w:eastAsia="Times New Roman"/>
      <w:sz w:val="20"/>
      <w:szCs w:val="20"/>
      <w:lang w:eastAsia="ja-JP"/>
    </w:rPr>
  </w:style>
  <w:style w:type="character" w:customStyle="1" w:styleId="EndnoteTextChar">
    <w:name w:val="Endnote Text Char"/>
    <w:link w:val="EndnoteText"/>
    <w:uiPriority w:val="99"/>
    <w:rsid w:val="00903F1E"/>
    <w:rPr>
      <w:rFonts w:eastAsia="Times New Roman"/>
      <w:sz w:val="20"/>
      <w:szCs w:val="20"/>
      <w:lang w:val="id-ID" w:eastAsia="ja-JP"/>
    </w:rPr>
  </w:style>
  <w:style w:type="character" w:styleId="EndnoteReference">
    <w:name w:val="endnote reference"/>
    <w:uiPriority w:val="99"/>
    <w:unhideWhenUsed/>
    <w:rsid w:val="00903F1E"/>
    <w:rPr>
      <w:vertAlign w:val="superscript"/>
    </w:rPr>
  </w:style>
  <w:style w:type="paragraph" w:styleId="NormalWeb">
    <w:name w:val="Normal (Web)"/>
    <w:basedOn w:val="Normal"/>
    <w:uiPriority w:val="99"/>
    <w:unhideWhenUsed/>
    <w:rsid w:val="001F1DF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9565B7"/>
    <w:tblPr>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left w:w="108" w:type="dxa"/>
        <w:bottom w:w="0" w:type="dxa"/>
        <w:right w:w="108" w:type="dxa"/>
      </w:tblCellMar>
    </w:tblPr>
  </w:style>
  <w:style w:type="paragraph" w:styleId="FootnoteText">
    <w:name w:val="footnote text"/>
    <w:aliases w:val="نص حاشية سفلية Char,نص حاشية سفلية Char Char,نص حاشية سفلية Char Char Char Char Char Char Char,نص حاشية سفلية Char Char Char  Char Char Char Char,نص حاشية سفلية Char Char1"/>
    <w:basedOn w:val="Normal"/>
    <w:link w:val="FootnoteTextChar"/>
    <w:unhideWhenUsed/>
    <w:rsid w:val="00CB111D"/>
    <w:pPr>
      <w:spacing w:after="0" w:line="240" w:lineRule="auto"/>
    </w:pPr>
    <w:rPr>
      <w:sz w:val="20"/>
      <w:szCs w:val="20"/>
      <w:lang w:val="x-none" w:eastAsia="x-none"/>
    </w:rPr>
  </w:style>
  <w:style w:type="character" w:customStyle="1" w:styleId="FootnoteTextChar">
    <w:name w:val="Footnote Text Char"/>
    <w:aliases w:val="نص حاشية سفلية Char Char2,نص حاشية سفلية Char Char Char,نص حاشية سفلية Char Char Char Char Char Char Char Char,نص حاشية سفلية Char Char Char  Char Char Char Char Char,نص حاشية سفلية Char Char1 Char"/>
    <w:link w:val="FootnoteText"/>
    <w:rsid w:val="00CB111D"/>
    <w:rPr>
      <w:rFonts w:ascii="Calibri" w:eastAsia="Calibri" w:hAnsi="Calibri" w:cs="Arial"/>
      <w:sz w:val="20"/>
      <w:szCs w:val="20"/>
    </w:rPr>
  </w:style>
  <w:style w:type="character" w:styleId="Emphasis">
    <w:name w:val="Emphasis"/>
    <w:uiPriority w:val="20"/>
    <w:qFormat/>
    <w:rsid w:val="00F25D47"/>
    <w:rPr>
      <w:rFonts w:cs="Times New Roman"/>
      <w:i/>
      <w:iCs/>
    </w:rPr>
  </w:style>
  <w:style w:type="character" w:customStyle="1" w:styleId="fontstyle01">
    <w:name w:val="fontstyle01"/>
    <w:rsid w:val="00AD30AF"/>
    <w:rPr>
      <w:rFonts w:ascii="Garamond-Bold" w:hAnsi="Garamond-Bold" w:hint="default"/>
      <w:b/>
      <w:bCs/>
      <w:i w:val="0"/>
      <w:iCs w:val="0"/>
      <w:color w:val="000000"/>
      <w:sz w:val="26"/>
      <w:szCs w:val="26"/>
    </w:rPr>
  </w:style>
  <w:style w:type="character" w:customStyle="1" w:styleId="ListParagraphChar">
    <w:name w:val="List Paragraph Char"/>
    <w:link w:val="ListParagraph"/>
    <w:uiPriority w:val="34"/>
    <w:locked/>
    <w:rsid w:val="008B62F4"/>
  </w:style>
  <w:style w:type="paragraph" w:styleId="BodyTextIndent2">
    <w:name w:val="Body Text Indent 2"/>
    <w:basedOn w:val="Normal"/>
    <w:link w:val="BodyTextIndent2Char"/>
    <w:uiPriority w:val="99"/>
    <w:semiHidden/>
    <w:unhideWhenUsed/>
    <w:rsid w:val="00CD7710"/>
    <w:pPr>
      <w:spacing w:after="120" w:line="480" w:lineRule="auto"/>
      <w:ind w:left="360"/>
    </w:pPr>
    <w:rPr>
      <w:sz w:val="20"/>
      <w:szCs w:val="20"/>
      <w:lang w:eastAsia="x-none"/>
    </w:rPr>
  </w:style>
  <w:style w:type="character" w:customStyle="1" w:styleId="BodyTextIndent2Char">
    <w:name w:val="Body Text Indent 2 Char"/>
    <w:link w:val="BodyTextIndent2"/>
    <w:uiPriority w:val="99"/>
    <w:semiHidden/>
    <w:rsid w:val="00CD7710"/>
    <w:rPr>
      <w:rFonts w:ascii="Calibri" w:eastAsia="Calibri" w:hAnsi="Calibri" w:cs="Times New Roman"/>
      <w:lang w:val="id-ID"/>
    </w:rPr>
  </w:style>
  <w:style w:type="paragraph" w:styleId="Bibliography">
    <w:name w:val="Bibliography"/>
    <w:basedOn w:val="Normal"/>
    <w:next w:val="Normal"/>
    <w:uiPriority w:val="37"/>
    <w:unhideWhenUsed/>
    <w:rsid w:val="00923635"/>
  </w:style>
  <w:style w:type="character" w:styleId="FootnoteReference">
    <w:name w:val="footnote reference"/>
    <w:aliases w:val="Footnote Reference1,Footnote Reference2,Footnote Reference11,Footnote Reference21,Footnote Reference12,Footnote Reference22,Footnote Reference13,Footnote Reference23,Footnote Reference111,Footnote Reference211"/>
    <w:unhideWhenUsed/>
    <w:rsid w:val="0070387D"/>
    <w:rPr>
      <w:vertAlign w:val="superscript"/>
    </w:rPr>
  </w:style>
  <w:style w:type="table" w:styleId="TableList3">
    <w:name w:val="Table List 3"/>
    <w:basedOn w:val="TableNormal"/>
    <w:uiPriority w:val="99"/>
    <w:rsid w:val="00190C26"/>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rsid w:val="00DC271B"/>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rsid w:val="00A1065E"/>
    <w:pPr>
      <w:spacing w:after="160" w:line="259" w:lineRule="auto"/>
    </w:pPr>
    <w:rPr>
      <w:rFonts w:eastAsia="Times New Roman" w:cs="Calibri"/>
      <w:sz w:val="22"/>
      <w:szCs w:val="22"/>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Unicode MS"/>
        <w:b/>
        <w:bCs/>
        <w:color w:val="000080"/>
      </w:rPr>
      <w:tblPr/>
      <w:tcPr>
        <w:tcBorders>
          <w:bottom w:val="single" w:sz="12" w:space="0" w:color="000000"/>
          <w:tl2br w:val="none" w:sz="0" w:space="0" w:color="auto"/>
          <w:tr2bl w:val="none" w:sz="0" w:space="0" w:color="auto"/>
        </w:tcBorders>
      </w:tcPr>
    </w:tblStylePr>
    <w:tblStylePr w:type="lastRow">
      <w:rPr>
        <w:rFonts w:cs="Arial Unicode MS"/>
      </w:rPr>
      <w:tblPr/>
      <w:tcPr>
        <w:tcBorders>
          <w:top w:val="single" w:sz="12" w:space="0" w:color="000000"/>
          <w:tl2br w:val="none" w:sz="0" w:space="0" w:color="auto"/>
          <w:tr2bl w:val="none" w:sz="0" w:space="0" w:color="auto"/>
        </w:tcBorders>
      </w:tcPr>
    </w:tblStylePr>
    <w:tblStylePr w:type="swCell">
      <w:rPr>
        <w:rFonts w:cs="Arial Unicode MS"/>
        <w:i/>
        <w:iCs/>
        <w:color w:val="000080"/>
      </w:rPr>
      <w:tblPr/>
      <w:tcPr>
        <w:tcBorders>
          <w:tl2br w:val="none" w:sz="0" w:space="0" w:color="auto"/>
          <w:tr2bl w:val="none" w:sz="0" w:space="0" w:color="auto"/>
        </w:tcBorders>
      </w:tcPr>
    </w:tblStylePr>
  </w:style>
  <w:style w:type="paragraph" w:customStyle="1" w:styleId="Body">
    <w:name w:val="Body"/>
    <w:rsid w:val="002A2DC7"/>
    <w:pPr>
      <w:pBdr>
        <w:top w:val="nil"/>
        <w:left w:val="nil"/>
        <w:bottom w:val="nil"/>
        <w:right w:val="nil"/>
        <w:between w:val="nil"/>
        <w:bar w:val="nil"/>
      </w:pBdr>
      <w:spacing w:after="160" w:line="259" w:lineRule="auto"/>
    </w:pPr>
    <w:rPr>
      <w:rFonts w:cs="Calibri"/>
      <w:color w:val="000000"/>
      <w:sz w:val="22"/>
      <w:szCs w:val="22"/>
      <w:u w:color="000000"/>
      <w:bdr w:val="nil"/>
    </w:rPr>
  </w:style>
  <w:style w:type="character" w:customStyle="1" w:styleId="None">
    <w:name w:val="None"/>
    <w:rsid w:val="002A2DC7"/>
  </w:style>
  <w:style w:type="character" w:customStyle="1" w:styleId="Hyperlink0">
    <w:name w:val="Hyperlink.0"/>
    <w:rsid w:val="002A2DC7"/>
    <w:rPr>
      <w:u w:val="single"/>
      <w:lang w:val="it-IT"/>
    </w:rPr>
  </w:style>
  <w:style w:type="character" w:customStyle="1" w:styleId="Hyperlink1">
    <w:name w:val="Hyperlink.1"/>
    <w:rsid w:val="002A2DC7"/>
    <w:rPr>
      <w:color w:val="010101"/>
      <w:u w:val="single" w:color="000000"/>
    </w:rPr>
  </w:style>
  <w:style w:type="character" w:customStyle="1" w:styleId="Link">
    <w:name w:val="Link"/>
    <w:rsid w:val="00A03D03"/>
    <w:rPr>
      <w:color w:val="0000FF"/>
      <w:u w:val="single" w:color="0000FF"/>
    </w:rPr>
  </w:style>
  <w:style w:type="character" w:customStyle="1" w:styleId="Heading3Char">
    <w:name w:val="Heading 3 Char"/>
    <w:link w:val="Heading3"/>
    <w:uiPriority w:val="9"/>
    <w:semiHidden/>
    <w:rsid w:val="00C53AEE"/>
    <w:rPr>
      <w:rFonts w:ascii="Calibri Light" w:eastAsia="Times New Roman" w:hAnsi="Calibri Light" w:cs="Times New Roman"/>
      <w:b/>
      <w:bCs/>
      <w:sz w:val="26"/>
      <w:szCs w:val="26"/>
      <w:lang w:val="id-ID"/>
    </w:rPr>
  </w:style>
  <w:style w:type="character" w:customStyle="1" w:styleId="personname">
    <w:name w:val="person_name"/>
    <w:basedOn w:val="DefaultParagraphFont"/>
    <w:rsid w:val="008A7467"/>
  </w:style>
  <w:style w:type="character" w:customStyle="1" w:styleId="q4iawc">
    <w:name w:val="q4iawc"/>
    <w:rsid w:val="003A2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2385">
      <w:bodyDiv w:val="1"/>
      <w:marLeft w:val="0"/>
      <w:marRight w:val="0"/>
      <w:marTop w:val="0"/>
      <w:marBottom w:val="0"/>
      <w:divBdr>
        <w:top w:val="none" w:sz="0" w:space="0" w:color="auto"/>
        <w:left w:val="none" w:sz="0" w:space="0" w:color="auto"/>
        <w:bottom w:val="none" w:sz="0" w:space="0" w:color="auto"/>
        <w:right w:val="none" w:sz="0" w:space="0" w:color="auto"/>
      </w:divBdr>
    </w:div>
    <w:div w:id="13505742">
      <w:bodyDiv w:val="1"/>
      <w:marLeft w:val="0"/>
      <w:marRight w:val="0"/>
      <w:marTop w:val="0"/>
      <w:marBottom w:val="0"/>
      <w:divBdr>
        <w:top w:val="none" w:sz="0" w:space="0" w:color="auto"/>
        <w:left w:val="none" w:sz="0" w:space="0" w:color="auto"/>
        <w:bottom w:val="none" w:sz="0" w:space="0" w:color="auto"/>
        <w:right w:val="none" w:sz="0" w:space="0" w:color="auto"/>
      </w:divBdr>
    </w:div>
    <w:div w:id="314652569">
      <w:bodyDiv w:val="1"/>
      <w:marLeft w:val="0"/>
      <w:marRight w:val="0"/>
      <w:marTop w:val="0"/>
      <w:marBottom w:val="0"/>
      <w:divBdr>
        <w:top w:val="none" w:sz="0" w:space="0" w:color="auto"/>
        <w:left w:val="none" w:sz="0" w:space="0" w:color="auto"/>
        <w:bottom w:val="none" w:sz="0" w:space="0" w:color="auto"/>
        <w:right w:val="none" w:sz="0" w:space="0" w:color="auto"/>
      </w:divBdr>
      <w:divsChild>
        <w:div w:id="666176166">
          <w:marLeft w:val="0"/>
          <w:marRight w:val="0"/>
          <w:marTop w:val="0"/>
          <w:marBottom w:val="0"/>
          <w:divBdr>
            <w:top w:val="none" w:sz="0" w:space="0" w:color="auto"/>
            <w:left w:val="none" w:sz="0" w:space="0" w:color="auto"/>
            <w:bottom w:val="none" w:sz="0" w:space="0" w:color="auto"/>
            <w:right w:val="none" w:sz="0" w:space="0" w:color="auto"/>
          </w:divBdr>
        </w:div>
        <w:div w:id="1337997448">
          <w:marLeft w:val="0"/>
          <w:marRight w:val="0"/>
          <w:marTop w:val="0"/>
          <w:marBottom w:val="0"/>
          <w:divBdr>
            <w:top w:val="none" w:sz="0" w:space="0" w:color="auto"/>
            <w:left w:val="none" w:sz="0" w:space="0" w:color="auto"/>
            <w:bottom w:val="none" w:sz="0" w:space="0" w:color="auto"/>
            <w:right w:val="none" w:sz="0" w:space="0" w:color="auto"/>
          </w:divBdr>
        </w:div>
        <w:div w:id="1435860074">
          <w:marLeft w:val="0"/>
          <w:marRight w:val="0"/>
          <w:marTop w:val="0"/>
          <w:marBottom w:val="0"/>
          <w:divBdr>
            <w:top w:val="none" w:sz="0" w:space="0" w:color="auto"/>
            <w:left w:val="none" w:sz="0" w:space="0" w:color="auto"/>
            <w:bottom w:val="none" w:sz="0" w:space="0" w:color="auto"/>
            <w:right w:val="none" w:sz="0" w:space="0" w:color="auto"/>
          </w:divBdr>
        </w:div>
        <w:div w:id="2007315572">
          <w:marLeft w:val="0"/>
          <w:marRight w:val="0"/>
          <w:marTop w:val="0"/>
          <w:marBottom w:val="0"/>
          <w:divBdr>
            <w:top w:val="none" w:sz="0" w:space="0" w:color="auto"/>
            <w:left w:val="none" w:sz="0" w:space="0" w:color="auto"/>
            <w:bottom w:val="none" w:sz="0" w:space="0" w:color="auto"/>
            <w:right w:val="none" w:sz="0" w:space="0" w:color="auto"/>
          </w:divBdr>
        </w:div>
      </w:divsChild>
    </w:div>
    <w:div w:id="470173305">
      <w:bodyDiv w:val="1"/>
      <w:marLeft w:val="0"/>
      <w:marRight w:val="0"/>
      <w:marTop w:val="0"/>
      <w:marBottom w:val="0"/>
      <w:divBdr>
        <w:top w:val="none" w:sz="0" w:space="0" w:color="auto"/>
        <w:left w:val="none" w:sz="0" w:space="0" w:color="auto"/>
        <w:bottom w:val="none" w:sz="0" w:space="0" w:color="auto"/>
        <w:right w:val="none" w:sz="0" w:space="0" w:color="auto"/>
      </w:divBdr>
      <w:divsChild>
        <w:div w:id="1596478093">
          <w:marLeft w:val="-225"/>
          <w:marRight w:val="-225"/>
          <w:marTop w:val="0"/>
          <w:marBottom w:val="0"/>
          <w:divBdr>
            <w:top w:val="none" w:sz="0" w:space="0" w:color="auto"/>
            <w:left w:val="none" w:sz="0" w:space="0" w:color="auto"/>
            <w:bottom w:val="none" w:sz="0" w:space="0" w:color="auto"/>
            <w:right w:val="none" w:sz="0" w:space="0" w:color="auto"/>
          </w:divBdr>
          <w:divsChild>
            <w:div w:id="452945725">
              <w:marLeft w:val="0"/>
              <w:marRight w:val="0"/>
              <w:marTop w:val="0"/>
              <w:marBottom w:val="0"/>
              <w:divBdr>
                <w:top w:val="none" w:sz="0" w:space="0" w:color="auto"/>
                <w:left w:val="none" w:sz="0" w:space="0" w:color="auto"/>
                <w:bottom w:val="none" w:sz="0" w:space="0" w:color="auto"/>
                <w:right w:val="none" w:sz="0" w:space="0" w:color="auto"/>
              </w:divBdr>
            </w:div>
            <w:div w:id="599608039">
              <w:marLeft w:val="0"/>
              <w:marRight w:val="0"/>
              <w:marTop w:val="0"/>
              <w:marBottom w:val="0"/>
              <w:divBdr>
                <w:top w:val="none" w:sz="0" w:space="0" w:color="auto"/>
                <w:left w:val="none" w:sz="0" w:space="0" w:color="auto"/>
                <w:bottom w:val="none" w:sz="0" w:space="0" w:color="auto"/>
                <w:right w:val="none" w:sz="0" w:space="0" w:color="auto"/>
              </w:divBdr>
            </w:div>
            <w:div w:id="1463695777">
              <w:marLeft w:val="0"/>
              <w:marRight w:val="0"/>
              <w:marTop w:val="0"/>
              <w:marBottom w:val="0"/>
              <w:divBdr>
                <w:top w:val="none" w:sz="0" w:space="0" w:color="auto"/>
                <w:left w:val="none" w:sz="0" w:space="0" w:color="auto"/>
                <w:bottom w:val="none" w:sz="0" w:space="0" w:color="auto"/>
                <w:right w:val="none" w:sz="0" w:space="0" w:color="auto"/>
              </w:divBdr>
              <w:divsChild>
                <w:div w:id="300573209">
                  <w:marLeft w:val="0"/>
                  <w:marRight w:val="0"/>
                  <w:marTop w:val="0"/>
                  <w:marBottom w:val="0"/>
                  <w:divBdr>
                    <w:top w:val="none" w:sz="0" w:space="0" w:color="auto"/>
                    <w:left w:val="none" w:sz="0" w:space="0" w:color="auto"/>
                    <w:bottom w:val="none" w:sz="0" w:space="0" w:color="auto"/>
                    <w:right w:val="none" w:sz="0" w:space="0" w:color="auto"/>
                  </w:divBdr>
                </w:div>
                <w:div w:id="898513180">
                  <w:marLeft w:val="0"/>
                  <w:marRight w:val="0"/>
                  <w:marTop w:val="0"/>
                  <w:marBottom w:val="0"/>
                  <w:divBdr>
                    <w:top w:val="none" w:sz="0" w:space="0" w:color="auto"/>
                    <w:left w:val="none" w:sz="0" w:space="0" w:color="auto"/>
                    <w:bottom w:val="none" w:sz="0" w:space="0" w:color="auto"/>
                    <w:right w:val="none" w:sz="0" w:space="0" w:color="auto"/>
                  </w:divBdr>
                </w:div>
                <w:div w:id="1013998467">
                  <w:marLeft w:val="0"/>
                  <w:marRight w:val="0"/>
                  <w:marTop w:val="0"/>
                  <w:marBottom w:val="0"/>
                  <w:divBdr>
                    <w:top w:val="none" w:sz="0" w:space="0" w:color="auto"/>
                    <w:left w:val="none" w:sz="0" w:space="0" w:color="auto"/>
                    <w:bottom w:val="none" w:sz="0" w:space="0" w:color="auto"/>
                    <w:right w:val="none" w:sz="0" w:space="0" w:color="auto"/>
                  </w:divBdr>
                </w:div>
                <w:div w:id="1813054889">
                  <w:marLeft w:val="0"/>
                  <w:marRight w:val="0"/>
                  <w:marTop w:val="0"/>
                  <w:marBottom w:val="0"/>
                  <w:divBdr>
                    <w:top w:val="none" w:sz="0" w:space="0" w:color="auto"/>
                    <w:left w:val="none" w:sz="0" w:space="0" w:color="auto"/>
                    <w:bottom w:val="none" w:sz="0" w:space="0" w:color="auto"/>
                    <w:right w:val="none" w:sz="0" w:space="0" w:color="auto"/>
                  </w:divBdr>
                </w:div>
                <w:div w:id="1882940869">
                  <w:marLeft w:val="0"/>
                  <w:marRight w:val="0"/>
                  <w:marTop w:val="0"/>
                  <w:marBottom w:val="0"/>
                  <w:divBdr>
                    <w:top w:val="none" w:sz="0" w:space="0" w:color="auto"/>
                    <w:left w:val="none" w:sz="0" w:space="0" w:color="auto"/>
                    <w:bottom w:val="none" w:sz="0" w:space="0" w:color="auto"/>
                    <w:right w:val="none" w:sz="0" w:space="0" w:color="auto"/>
                  </w:divBdr>
                </w:div>
                <w:div w:id="1966082198">
                  <w:marLeft w:val="0"/>
                  <w:marRight w:val="0"/>
                  <w:marTop w:val="0"/>
                  <w:marBottom w:val="0"/>
                  <w:divBdr>
                    <w:top w:val="none" w:sz="0" w:space="0" w:color="auto"/>
                    <w:left w:val="none" w:sz="0" w:space="0" w:color="auto"/>
                    <w:bottom w:val="none" w:sz="0" w:space="0" w:color="auto"/>
                    <w:right w:val="none" w:sz="0" w:space="0" w:color="auto"/>
                  </w:divBdr>
                </w:div>
                <w:div w:id="2033916302">
                  <w:marLeft w:val="0"/>
                  <w:marRight w:val="0"/>
                  <w:marTop w:val="0"/>
                  <w:marBottom w:val="0"/>
                  <w:divBdr>
                    <w:top w:val="none" w:sz="0" w:space="0" w:color="auto"/>
                    <w:left w:val="none" w:sz="0" w:space="0" w:color="auto"/>
                    <w:bottom w:val="none" w:sz="0" w:space="0" w:color="auto"/>
                    <w:right w:val="none" w:sz="0" w:space="0" w:color="auto"/>
                  </w:divBdr>
                </w:div>
              </w:divsChild>
            </w:div>
            <w:div w:id="173939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85423">
      <w:bodyDiv w:val="1"/>
      <w:marLeft w:val="0"/>
      <w:marRight w:val="0"/>
      <w:marTop w:val="0"/>
      <w:marBottom w:val="0"/>
      <w:divBdr>
        <w:top w:val="none" w:sz="0" w:space="0" w:color="auto"/>
        <w:left w:val="none" w:sz="0" w:space="0" w:color="auto"/>
        <w:bottom w:val="none" w:sz="0" w:space="0" w:color="auto"/>
        <w:right w:val="none" w:sz="0" w:space="0" w:color="auto"/>
      </w:divBdr>
    </w:div>
    <w:div w:id="851989682">
      <w:bodyDiv w:val="1"/>
      <w:marLeft w:val="0"/>
      <w:marRight w:val="0"/>
      <w:marTop w:val="0"/>
      <w:marBottom w:val="0"/>
      <w:divBdr>
        <w:top w:val="none" w:sz="0" w:space="0" w:color="auto"/>
        <w:left w:val="none" w:sz="0" w:space="0" w:color="auto"/>
        <w:bottom w:val="none" w:sz="0" w:space="0" w:color="auto"/>
        <w:right w:val="none" w:sz="0" w:space="0" w:color="auto"/>
      </w:divBdr>
    </w:div>
    <w:div w:id="1057245699">
      <w:bodyDiv w:val="1"/>
      <w:marLeft w:val="0"/>
      <w:marRight w:val="0"/>
      <w:marTop w:val="0"/>
      <w:marBottom w:val="0"/>
      <w:divBdr>
        <w:top w:val="none" w:sz="0" w:space="0" w:color="auto"/>
        <w:left w:val="none" w:sz="0" w:space="0" w:color="auto"/>
        <w:bottom w:val="none" w:sz="0" w:space="0" w:color="auto"/>
        <w:right w:val="none" w:sz="0" w:space="0" w:color="auto"/>
      </w:divBdr>
      <w:divsChild>
        <w:div w:id="269707993">
          <w:marLeft w:val="0"/>
          <w:marRight w:val="0"/>
          <w:marTop w:val="0"/>
          <w:marBottom w:val="0"/>
          <w:divBdr>
            <w:top w:val="none" w:sz="0" w:space="0" w:color="auto"/>
            <w:left w:val="none" w:sz="0" w:space="0" w:color="auto"/>
            <w:bottom w:val="none" w:sz="0" w:space="0" w:color="auto"/>
            <w:right w:val="none" w:sz="0" w:space="0" w:color="auto"/>
          </w:divBdr>
          <w:divsChild>
            <w:div w:id="430516824">
              <w:marLeft w:val="0"/>
              <w:marRight w:val="0"/>
              <w:marTop w:val="0"/>
              <w:marBottom w:val="0"/>
              <w:divBdr>
                <w:top w:val="single" w:sz="6" w:space="8" w:color="DFDFDF"/>
                <w:left w:val="single" w:sz="6" w:space="8" w:color="DFDFDF"/>
                <w:bottom w:val="single" w:sz="6" w:space="8" w:color="DFDFDF"/>
                <w:right w:val="single" w:sz="6" w:space="8" w:color="DFDFDF"/>
              </w:divBdr>
              <w:divsChild>
                <w:div w:id="17789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341298">
          <w:marLeft w:val="0"/>
          <w:marRight w:val="0"/>
          <w:marTop w:val="0"/>
          <w:marBottom w:val="0"/>
          <w:divBdr>
            <w:top w:val="single" w:sz="6" w:space="8" w:color="000000"/>
            <w:left w:val="single" w:sz="6" w:space="8" w:color="000000"/>
            <w:bottom w:val="single" w:sz="6" w:space="8" w:color="000000"/>
            <w:right w:val="single" w:sz="6" w:space="8" w:color="000000"/>
          </w:divBdr>
          <w:divsChild>
            <w:div w:id="1077018629">
              <w:marLeft w:val="0"/>
              <w:marRight w:val="0"/>
              <w:marTop w:val="0"/>
              <w:marBottom w:val="0"/>
              <w:divBdr>
                <w:top w:val="none" w:sz="0" w:space="0" w:color="auto"/>
                <w:left w:val="none" w:sz="0" w:space="0" w:color="auto"/>
                <w:bottom w:val="none" w:sz="0" w:space="0" w:color="auto"/>
                <w:right w:val="none" w:sz="0" w:space="0" w:color="auto"/>
              </w:divBdr>
              <w:divsChild>
                <w:div w:id="1003820542">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2028021629">
      <w:bodyDiv w:val="1"/>
      <w:marLeft w:val="0"/>
      <w:marRight w:val="0"/>
      <w:marTop w:val="0"/>
      <w:marBottom w:val="0"/>
      <w:divBdr>
        <w:top w:val="none" w:sz="0" w:space="0" w:color="auto"/>
        <w:left w:val="none" w:sz="0" w:space="0" w:color="auto"/>
        <w:bottom w:val="none" w:sz="0" w:space="0" w:color="auto"/>
        <w:right w:val="none" w:sz="0" w:space="0" w:color="auto"/>
      </w:divBdr>
    </w:div>
    <w:div w:id="2144888720">
      <w:bodyDiv w:val="1"/>
      <w:marLeft w:val="0"/>
      <w:marRight w:val="0"/>
      <w:marTop w:val="0"/>
      <w:marBottom w:val="0"/>
      <w:divBdr>
        <w:top w:val="none" w:sz="0" w:space="0" w:color="auto"/>
        <w:left w:val="none" w:sz="0" w:space="0" w:color="auto"/>
        <w:bottom w:val="none" w:sz="0" w:space="0" w:color="auto"/>
        <w:right w:val="none" w:sz="0" w:space="0" w:color="auto"/>
      </w:divBdr>
      <w:divsChild>
        <w:div w:id="638193931">
          <w:marLeft w:val="0"/>
          <w:marRight w:val="0"/>
          <w:marTop w:val="0"/>
          <w:marBottom w:val="0"/>
          <w:divBdr>
            <w:top w:val="single" w:sz="6" w:space="8" w:color="000000"/>
            <w:left w:val="single" w:sz="6" w:space="8" w:color="000000"/>
            <w:bottom w:val="single" w:sz="6" w:space="8" w:color="000000"/>
            <w:right w:val="single" w:sz="6" w:space="8" w:color="000000"/>
          </w:divBdr>
          <w:divsChild>
            <w:div w:id="1172111538">
              <w:marLeft w:val="0"/>
              <w:marRight w:val="0"/>
              <w:marTop w:val="0"/>
              <w:marBottom w:val="0"/>
              <w:divBdr>
                <w:top w:val="none" w:sz="0" w:space="0" w:color="auto"/>
                <w:left w:val="none" w:sz="0" w:space="0" w:color="auto"/>
                <w:bottom w:val="none" w:sz="0" w:space="0" w:color="auto"/>
                <w:right w:val="none" w:sz="0" w:space="0" w:color="auto"/>
              </w:divBdr>
              <w:divsChild>
                <w:div w:id="365251474">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 w:id="1839611321">
          <w:marLeft w:val="0"/>
          <w:marRight w:val="0"/>
          <w:marTop w:val="0"/>
          <w:marBottom w:val="0"/>
          <w:divBdr>
            <w:top w:val="none" w:sz="0" w:space="0" w:color="auto"/>
            <w:left w:val="none" w:sz="0" w:space="0" w:color="auto"/>
            <w:bottom w:val="none" w:sz="0" w:space="0" w:color="auto"/>
            <w:right w:val="none" w:sz="0" w:space="0" w:color="auto"/>
          </w:divBdr>
          <w:divsChild>
            <w:div w:id="1155216847">
              <w:marLeft w:val="0"/>
              <w:marRight w:val="0"/>
              <w:marTop w:val="0"/>
              <w:marBottom w:val="0"/>
              <w:divBdr>
                <w:top w:val="single" w:sz="6" w:space="8" w:color="DFDFDF"/>
                <w:left w:val="single" w:sz="6" w:space="8" w:color="DFDFDF"/>
                <w:bottom w:val="single" w:sz="6" w:space="8" w:color="DFDFDF"/>
                <w:right w:val="single" w:sz="6" w:space="8" w:color="DFDFDF"/>
              </w:divBdr>
              <w:divsChild>
                <w:div w:id="15905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hyperlink" Target="http://ejournal.uniramalang.ac.id/index.php/alwijdan"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2BE599B-C997-4B55-BB16-11D06E70A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18</Pages>
  <Words>4471</Words>
  <Characters>25487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29899</CharactersWithSpaces>
  <SharedDoc>false</SharedDoc>
  <HLinks>
    <vt:vector size="24" baseType="variant">
      <vt:variant>
        <vt:i4>2555907</vt:i4>
      </vt:variant>
      <vt:variant>
        <vt:i4>6</vt:i4>
      </vt:variant>
      <vt:variant>
        <vt:i4>0</vt:i4>
      </vt:variant>
      <vt:variant>
        <vt:i4>5</vt:i4>
      </vt:variant>
      <vt:variant>
        <vt:lpwstr>mailto:ir120@ums.ac.id</vt:lpwstr>
      </vt:variant>
      <vt:variant>
        <vt:lpwstr/>
      </vt:variant>
      <vt:variant>
        <vt:i4>5636198</vt:i4>
      </vt:variant>
      <vt:variant>
        <vt:i4>3</vt:i4>
      </vt:variant>
      <vt:variant>
        <vt:i4>0</vt:i4>
      </vt:variant>
      <vt:variant>
        <vt:i4>5</vt:i4>
      </vt:variant>
      <vt:variant>
        <vt:lpwstr>mailto:hasanelqudsy@staff.uinsaid.ac.id</vt:lpwstr>
      </vt:variant>
      <vt:variant>
        <vt:lpwstr/>
      </vt:variant>
      <vt:variant>
        <vt:i4>5505062</vt:i4>
      </vt:variant>
      <vt:variant>
        <vt:i4>0</vt:i4>
      </vt:variant>
      <vt:variant>
        <vt:i4>0</vt:i4>
      </vt:variant>
      <vt:variant>
        <vt:i4>5</vt:i4>
      </vt:variant>
      <vt:variant>
        <vt:lpwstr>mailto:O200190019@student.ums.ac.id</vt:lpwstr>
      </vt:variant>
      <vt:variant>
        <vt:lpwstr/>
      </vt:variant>
      <vt:variant>
        <vt:i4>589901</vt:i4>
      </vt:variant>
      <vt:variant>
        <vt:i4>0</vt:i4>
      </vt:variant>
      <vt:variant>
        <vt:i4>0</vt:i4>
      </vt:variant>
      <vt:variant>
        <vt:i4>5</vt:i4>
      </vt:variant>
      <vt:variant>
        <vt:lpwstr>http://ejournal.uniramalang.ac.id/index.php/alwijdan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dc:creator>
  <cp:lastModifiedBy>Perpustakaan</cp:lastModifiedBy>
  <cp:revision>15</cp:revision>
  <cp:lastPrinted>2022-11-01T05:28:00Z</cp:lastPrinted>
  <dcterms:created xsi:type="dcterms:W3CDTF">2022-10-15T03:40:00Z</dcterms:created>
  <dcterms:modified xsi:type="dcterms:W3CDTF">2022-11-01T05:51:00Z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http://www.zotero.org/styles/chicago-fullnote-bibliography-16th-edition</vt:lpwstr>
  </property>
  <property fmtid="{D5CDD505-2E9C-101B-9397-08002B2CF9AE}" pid="9" name="Mendeley Recent Style Name 3_1">
    <vt:lpwstr>Chicago Manual of Style 16th edition (full note)</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9e8caf62-ba28-3fcb-9e91-c36623b2e822</vt:lpwstr>
  </property>
  <property fmtid="{D5CDD505-2E9C-101B-9397-08002B2CF9AE}" pid="24" name="Mendeley Citation Style_1">
    <vt:lpwstr>http://www.zotero.org/styles/chicago-fullnote-bibliography-16th-edition</vt:lpwstr>
  </property>
</Properties>
</file>